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671B5E2A" w:rsidR="00810FA2" w:rsidRDefault="00810FA2"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w:t>
      </w:r>
      <w:r>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FA20F1">
        <w:rPr>
          <w:rFonts w:ascii="Times New Roman" w:hAnsi="Times New Roman"/>
          <w:sz w:val="22"/>
          <w:szCs w:val="22"/>
        </w:rPr>
        <w:t>Un nuevo contrato social y ambiental para el siglo XXI</w:t>
      </w:r>
    </w:p>
    <w:p w14:paraId="1D369A5A" w14:textId="1FF860C1"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16A48A62"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0C6B332A" w:rsidR="00C16F97" w:rsidRDefault="00C76074"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rPr>
        <w:t>Propósito 2: Cambiar nuestros hábitos de vida para reverdecer a Bogotá y adaptarnos y</w:t>
      </w:r>
      <w:r w:rsidR="00D14C71">
        <w:rPr>
          <w:rFonts w:ascii="Times New Roman" w:hAnsi="Times New Roman"/>
          <w:sz w:val="22"/>
          <w:szCs w:val="22"/>
        </w:rPr>
        <w:t xml:space="preserve"> </w:t>
      </w:r>
      <w:r w:rsidR="00D14C71" w:rsidRPr="00D14C71">
        <w:rPr>
          <w:rFonts w:ascii="Times New Roman" w:hAnsi="Times New Roman"/>
          <w:sz w:val="22"/>
          <w:szCs w:val="22"/>
        </w:rPr>
        <w:t>mitigar el cambio climático.</w:t>
      </w:r>
    </w:p>
    <w:p w14:paraId="45DDB2A6" w14:textId="6FB0E40D" w:rsidR="00D14C71" w:rsidRDefault="00C16F97" w:rsidP="00D14C71">
      <w:pPr>
        <w:pBdr>
          <w:top w:val="single" w:sz="4" w:space="1" w:color="000000"/>
          <w:left w:val="single" w:sz="4" w:space="27" w:color="000000"/>
          <w:bottom w:val="single" w:sz="4" w:space="1" w:color="000000"/>
          <w:right w:val="single" w:sz="4" w:space="0" w:color="000000"/>
        </w:pBdr>
        <w:spacing w:line="276" w:lineRule="auto"/>
        <w:ind w:left="3600" w:hanging="3600"/>
        <w:rPr>
          <w:rFonts w:ascii="Times New Roman" w:hAnsi="Times New Roman"/>
          <w:sz w:val="22"/>
          <w:szCs w:val="22"/>
          <w:lang w:val="es-ES"/>
        </w:rPr>
      </w:pPr>
      <w:r w:rsidRPr="0018003D">
        <w:rPr>
          <w:rFonts w:ascii="Times New Roman" w:hAnsi="Times New Roman"/>
          <w:sz w:val="22"/>
          <w:szCs w:val="22"/>
        </w:rPr>
        <w:t>Logro</w:t>
      </w:r>
      <w:r w:rsidRPr="001D57EA">
        <w:rPr>
          <w:rFonts w:ascii="Times New Roman" w:hAnsi="Times New Roman"/>
          <w:sz w:val="22"/>
          <w:szCs w:val="22"/>
        </w:rPr>
        <w:t xml:space="preserve">:   </w:t>
      </w:r>
      <w:r>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lang w:val="es-ES"/>
        </w:rPr>
        <w:t>Intervenir integralmente áreas estratégicas de Bogotá teniendo en</w:t>
      </w:r>
      <w:r w:rsidR="00D14C71">
        <w:rPr>
          <w:rFonts w:ascii="Times New Roman" w:hAnsi="Times New Roman"/>
          <w:sz w:val="22"/>
          <w:szCs w:val="22"/>
          <w:lang w:val="es-ES"/>
        </w:rPr>
        <w:t xml:space="preserve"> </w:t>
      </w:r>
      <w:r w:rsidR="00D14C71" w:rsidRPr="00D14C71">
        <w:rPr>
          <w:rFonts w:ascii="Times New Roman" w:hAnsi="Times New Roman"/>
          <w:sz w:val="22"/>
          <w:szCs w:val="22"/>
          <w:lang w:val="es-ES"/>
        </w:rPr>
        <w:t>cuenta las dinámicas patrimoniales, ambientales, sociales y culturales</w:t>
      </w:r>
    </w:p>
    <w:p w14:paraId="00C11376" w14:textId="6A4542DA" w:rsidR="00F550E3"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rPr>
      </w:pPr>
      <w:r w:rsidRPr="0018003D">
        <w:rPr>
          <w:rFonts w:ascii="Times New Roman" w:hAnsi="Times New Roman"/>
          <w:sz w:val="22"/>
          <w:szCs w:val="22"/>
        </w:rPr>
        <w:t>Programa</w:t>
      </w:r>
      <w:r w:rsidR="00D14C71">
        <w:rPr>
          <w:rFonts w:ascii="Times New Roman" w:hAnsi="Times New Roman"/>
          <w:sz w:val="22"/>
          <w:szCs w:val="22"/>
        </w:rPr>
        <w:t>:</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D14C71">
        <w:rPr>
          <w:rFonts w:ascii="Times New Roman" w:hAnsi="Times New Roman"/>
          <w:sz w:val="22"/>
          <w:szCs w:val="22"/>
          <w:lang w:val="es-ES"/>
        </w:rPr>
        <w:tab/>
      </w:r>
      <w:r w:rsidR="00D14C71">
        <w:rPr>
          <w:rFonts w:ascii="Times New Roman" w:hAnsi="Times New Roman"/>
          <w:sz w:val="22"/>
          <w:szCs w:val="22"/>
          <w:lang w:val="es-ES"/>
        </w:rPr>
        <w:tab/>
      </w:r>
      <w:r w:rsidR="00D14C71">
        <w:rPr>
          <w:rFonts w:ascii="Times New Roman" w:hAnsi="Times New Roman"/>
          <w:sz w:val="22"/>
          <w:szCs w:val="22"/>
          <w:lang w:val="es-ES"/>
        </w:rPr>
        <w:tab/>
      </w:r>
      <w:r w:rsidR="00D14C71" w:rsidRPr="00D14C71">
        <w:rPr>
          <w:rFonts w:ascii="Times New Roman" w:hAnsi="Times New Roman"/>
          <w:sz w:val="22"/>
          <w:szCs w:val="22"/>
          <w:lang w:val="es-ES"/>
        </w:rPr>
        <w:t>Asentamientos y entornos protectores</w:t>
      </w:r>
    </w:p>
    <w:p w14:paraId="13D6892D" w14:textId="433FCAB1" w:rsidR="0010588B"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lang w:val="es-ES"/>
        </w:rPr>
      </w:pPr>
      <w:r w:rsidRPr="0018003D">
        <w:rPr>
          <w:rFonts w:ascii="Times New Roman" w:hAnsi="Times New Roman"/>
          <w:sz w:val="22"/>
          <w:szCs w:val="22"/>
        </w:rPr>
        <w:t>Objetivos estratégicos de la SDA</w:t>
      </w:r>
      <w:r w:rsidR="00B50534">
        <w:rPr>
          <w:rFonts w:ascii="Times New Roman" w:hAnsi="Times New Roman"/>
          <w:sz w:val="22"/>
          <w:szCs w:val="22"/>
        </w:rPr>
        <w:t>:</w:t>
      </w:r>
      <w:r w:rsidR="00653522">
        <w:rPr>
          <w:rFonts w:ascii="Times New Roman" w:hAnsi="Times New Roman"/>
          <w:sz w:val="22"/>
          <w:szCs w:val="22"/>
        </w:rPr>
        <w:t xml:space="preserve"> </w:t>
      </w:r>
      <w:r w:rsidR="00D14C71">
        <w:rPr>
          <w:rFonts w:ascii="Times New Roman" w:hAnsi="Times New Roman"/>
          <w:sz w:val="22"/>
          <w:szCs w:val="22"/>
        </w:rPr>
        <w:tab/>
      </w:r>
      <w:r w:rsidR="00D14C71">
        <w:rPr>
          <w:rFonts w:ascii="Times New Roman" w:hAnsi="Times New Roman"/>
          <w:sz w:val="22"/>
          <w:szCs w:val="22"/>
          <w:lang w:val="es-ES"/>
        </w:rPr>
        <w:t>6.3.1 Contribuir eficazmente en la construcción de una ciudad ambientalmente sostenible, que se integre con la región y con la nación, en cumplimiento de lo establecido en el plan de desarrollo distrital vigente.</w:t>
      </w:r>
    </w:p>
    <w:p w14:paraId="632D7B0B" w14:textId="2C254276" w:rsidR="00B50534"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 xml:space="preserve">Nombre Proyecto de inversión: </w:t>
      </w:r>
      <w:bookmarkStart w:id="0" w:name="_Hlk42246371"/>
      <w:r w:rsidR="00D14C71">
        <w:rPr>
          <w:rFonts w:ascii="Times New Roman" w:hAnsi="Times New Roman"/>
          <w:sz w:val="22"/>
          <w:szCs w:val="22"/>
        </w:rPr>
        <w:tab/>
        <w:t xml:space="preserve">7743 - </w:t>
      </w:r>
      <w:r w:rsidR="00D14C71" w:rsidRPr="00D14C71">
        <w:rPr>
          <w:rFonts w:ascii="Times New Roman" w:hAnsi="Times New Roman"/>
          <w:sz w:val="22"/>
          <w:szCs w:val="22"/>
        </w:rPr>
        <w:t>Control, evaluación y seguimiento a predios de sitios contaminados, suelos degradados y pasivos ambientales para el diagnóstico de las condiciones del suelo y el acuífero somero en Bogotá.</w:t>
      </w:r>
    </w:p>
    <w:bookmarkEnd w:id="0"/>
    <w:p w14:paraId="18B41301" w14:textId="77777777" w:rsidR="00BE151B"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D14C71">
        <w:rPr>
          <w:rFonts w:ascii="Times New Roman" w:hAnsi="Times New Roman"/>
          <w:sz w:val="22"/>
          <w:szCs w:val="22"/>
        </w:rPr>
        <w:tab/>
      </w:r>
      <w:r w:rsidR="00BE151B" w:rsidRPr="00BE151B">
        <w:rPr>
          <w:rFonts w:ascii="Times New Roman" w:hAnsi="Times New Roman"/>
          <w:sz w:val="22"/>
          <w:szCs w:val="22"/>
        </w:rPr>
        <w:t>Conservación y manejo ambiental</w:t>
      </w:r>
    </w:p>
    <w:p w14:paraId="044E0DD4" w14:textId="1EB9910B"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Versión</w:t>
      </w:r>
      <w:r w:rsidRPr="00AB3EB9">
        <w:rPr>
          <w:rFonts w:ascii="Times New Roman" w:hAnsi="Times New Roman"/>
          <w:sz w:val="22"/>
          <w:szCs w:val="22"/>
        </w:rPr>
        <w:t>:</w:t>
      </w:r>
      <w:r w:rsidR="00C76074" w:rsidRPr="00AB3EB9">
        <w:rPr>
          <w:rFonts w:ascii="Times New Roman" w:hAnsi="Times New Roman"/>
          <w:sz w:val="22"/>
          <w:szCs w:val="22"/>
        </w:rPr>
        <w:t xml:space="preserve"> </w:t>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23714A" w:rsidRPr="00987672">
        <w:rPr>
          <w:rFonts w:ascii="Times New Roman" w:hAnsi="Times New Roman"/>
          <w:sz w:val="22"/>
          <w:szCs w:val="22"/>
        </w:rPr>
        <w:t xml:space="preserve">No. </w:t>
      </w:r>
      <w:r w:rsidR="004E576A" w:rsidRPr="00987672">
        <w:rPr>
          <w:rFonts w:ascii="Times New Roman" w:hAnsi="Times New Roman"/>
          <w:sz w:val="22"/>
          <w:szCs w:val="22"/>
        </w:rPr>
        <w:t>1</w:t>
      </w:r>
      <w:r w:rsidR="00987672" w:rsidRPr="00987672">
        <w:rPr>
          <w:rFonts w:ascii="Times New Roman" w:hAnsi="Times New Roman"/>
          <w:sz w:val="22"/>
          <w:szCs w:val="22"/>
        </w:rPr>
        <w:t>5</w:t>
      </w:r>
      <w:r w:rsidR="003D3A3C" w:rsidRPr="00987672">
        <w:rPr>
          <w:rFonts w:ascii="Times New Roman" w:hAnsi="Times New Roman"/>
          <w:sz w:val="22"/>
          <w:szCs w:val="22"/>
        </w:rPr>
        <w:t xml:space="preserve"> -</w:t>
      </w:r>
      <w:r w:rsidR="009B72DD" w:rsidRPr="00987672">
        <w:rPr>
          <w:rFonts w:ascii="Times New Roman" w:hAnsi="Times New Roman"/>
          <w:sz w:val="22"/>
          <w:szCs w:val="22"/>
        </w:rPr>
        <w:t xml:space="preserve"> Fecha: </w:t>
      </w:r>
      <w:r w:rsidR="00987672" w:rsidRPr="00987672">
        <w:rPr>
          <w:rFonts w:ascii="Times New Roman" w:hAnsi="Times New Roman"/>
          <w:sz w:val="22"/>
          <w:szCs w:val="22"/>
        </w:rPr>
        <w:t>30</w:t>
      </w:r>
      <w:r w:rsidR="009F07DD" w:rsidRPr="00987672">
        <w:rPr>
          <w:rFonts w:ascii="Times New Roman" w:hAnsi="Times New Roman"/>
          <w:sz w:val="22"/>
          <w:szCs w:val="22"/>
        </w:rPr>
        <w:t>/0</w:t>
      </w:r>
      <w:r w:rsidR="00987672" w:rsidRPr="00987672">
        <w:rPr>
          <w:rFonts w:ascii="Times New Roman" w:hAnsi="Times New Roman"/>
          <w:sz w:val="22"/>
          <w:szCs w:val="22"/>
        </w:rPr>
        <w:t>6</w:t>
      </w:r>
      <w:r w:rsidR="009F07DD" w:rsidRPr="00987672">
        <w:rPr>
          <w:rFonts w:ascii="Times New Roman" w:hAnsi="Times New Roman"/>
          <w:sz w:val="22"/>
          <w:szCs w:val="22"/>
        </w:rPr>
        <w:t>/2023</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B6627"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95A8ECE" w:rsidR="00E8661C" w:rsidRDefault="001151EB" w:rsidP="00A910D6">
      <w:pPr>
        <w:pStyle w:val="Prrafodelista"/>
        <w:numPr>
          <w:ilvl w:val="1"/>
          <w:numId w:val="3"/>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F11965" w:rsidRDefault="00000000"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F11965">
          <w:rPr>
            <w:rFonts w:ascii="Times New Roman" w:hAnsi="Times New Roman"/>
            <w:b/>
            <w:bCs/>
            <w:color w:val="000000"/>
            <w:sz w:val="28"/>
            <w:szCs w:val="22"/>
          </w:rPr>
          <w:t>Plan Nacional de Desarrollo</w:t>
        </w:r>
      </w:hyperlink>
      <w:r w:rsidR="00810FA2" w:rsidRPr="00F11965">
        <w:rPr>
          <w:rFonts w:ascii="Times New Roman" w:hAnsi="Times New Roman"/>
          <w:b/>
        </w:rPr>
        <w:t xml:space="preserve"> (</w:t>
      </w:r>
      <w:r w:rsidR="0018003D" w:rsidRPr="00F11965">
        <w:rPr>
          <w:rFonts w:ascii="Times New Roman" w:hAnsi="Times New Roman"/>
        </w:rPr>
        <w:t>Contribución al Plan Nacional de Desarrol</w:t>
      </w:r>
      <w:r w:rsidR="0018003D" w:rsidRPr="00F11965">
        <w:rPr>
          <w:rFonts w:ascii="Times New Roman" w:hAnsi="Times New Roman"/>
          <w:sz w:val="22"/>
        </w:rPr>
        <w:t>l</w:t>
      </w:r>
      <w:r w:rsidR="0018003D" w:rsidRPr="00F11965">
        <w:rPr>
          <w:rFonts w:ascii="Times New Roman" w:hAnsi="Times New Roman"/>
        </w:rPr>
        <w:t>o</w:t>
      </w:r>
      <w:r w:rsidR="00810FA2" w:rsidRPr="00F11965">
        <w:rPr>
          <w:rFonts w:ascii="Times New Roman" w:hAnsi="Times New Roman"/>
          <w:b/>
        </w:rPr>
        <w:t>)</w:t>
      </w:r>
    </w:p>
    <w:p w14:paraId="0AE994B0" w14:textId="2C1AA9C8" w:rsidR="00F550E3"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515086E" w14:textId="77777777" w:rsidR="00D14C71" w:rsidRDefault="00D14C71" w:rsidP="00D14C71">
      <w:pPr>
        <w:rPr>
          <w:rFonts w:ascii="Times New Roman" w:hAnsi="Times New Roman"/>
          <w:sz w:val="22"/>
          <w:szCs w:val="22"/>
        </w:rPr>
      </w:pPr>
      <w:r>
        <w:rPr>
          <w:rFonts w:ascii="Times New Roman" w:hAnsi="Times New Roman"/>
          <w:sz w:val="22"/>
          <w:szCs w:val="22"/>
        </w:rPr>
        <w:t xml:space="preserve">El Plan Nacional de Desarrollo 2018-2022 “Pacto por Colombia, pacto por la equidad”, adoptado a través de la Ley 1955 del 25 de mayo de 2019,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 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w:t>
      </w:r>
      <w:r>
        <w:rPr>
          <w:rFonts w:ascii="Times New Roman" w:hAnsi="Times New Roman"/>
          <w:sz w:val="22"/>
          <w:szCs w:val="22"/>
        </w:rPr>
        <w:lastRenderedPageBreak/>
        <w:t xml:space="preserve">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 </w:t>
      </w:r>
    </w:p>
    <w:p w14:paraId="72F14BE2" w14:textId="77777777" w:rsidR="00D14C71" w:rsidRDefault="00D14C71" w:rsidP="00D14C71">
      <w:pPr>
        <w:rPr>
          <w:rFonts w:ascii="Times New Roman" w:hAnsi="Times New Roman"/>
          <w:sz w:val="22"/>
          <w:szCs w:val="22"/>
        </w:rPr>
      </w:pPr>
    </w:p>
    <w:p w14:paraId="2DF91AD5" w14:textId="77777777" w:rsidR="00D14C71" w:rsidRDefault="00D14C71" w:rsidP="00D14C71">
      <w:pPr>
        <w:rPr>
          <w:rFonts w:ascii="Times New Roman" w:hAnsi="Times New Roman"/>
          <w:sz w:val="22"/>
          <w:szCs w:val="22"/>
        </w:rPr>
      </w:pPr>
      <w:r>
        <w:rPr>
          <w:rFonts w:ascii="Times New Roman" w:hAnsi="Times New Roman"/>
          <w:sz w:val="22"/>
          <w:szCs w:val="22"/>
        </w:rPr>
        <w:t>La estrategia del Pacto por la sostenibilidad articula su línea A denominada “Sectores comprometidos con la sostenibilidad y la mitigación del cambio climático” con el objetivo 2 “Mejorar la calidad del aire, del agua y del suelo para la prevención de los impactos en la salud pública y la reducción de las desigualdades relacionadas con el acceso a los recursos”.  Dicho objetivo, en su literal c) establece la “Gestión de Pasivos Ambientales y del Suelo”, el cual se articula en el programa 3201 – Fortalecimiento del desempeño ambiental de los sectores productivos, a través de las acciones de intervención entre las cuales se desatacan la generación de protocolos y guías técnicas, así como, generación del conocimiento sobre el estado físico y químico del suelo.</w:t>
      </w:r>
    </w:p>
    <w:p w14:paraId="48872F6D" w14:textId="77777777" w:rsidR="00D14C71" w:rsidRDefault="00D14C71" w:rsidP="00D14C71">
      <w:pPr>
        <w:rPr>
          <w:rFonts w:ascii="Times New Roman" w:hAnsi="Times New Roman"/>
          <w:sz w:val="22"/>
          <w:szCs w:val="22"/>
        </w:rPr>
      </w:pPr>
    </w:p>
    <w:p w14:paraId="05333E78" w14:textId="77777777" w:rsidR="00D14C71" w:rsidRDefault="00D14C71" w:rsidP="00D14C71">
      <w:pPr>
        <w:rPr>
          <w:rFonts w:ascii="Times New Roman" w:hAnsi="Times New Roman"/>
          <w:color w:val="757B87"/>
          <w:sz w:val="21"/>
          <w:szCs w:val="21"/>
          <w:shd w:val="clear" w:color="auto" w:fill="FFFFFF"/>
        </w:rPr>
      </w:pPr>
      <w:r>
        <w:rPr>
          <w:rFonts w:ascii="Times New Roman" w:hAnsi="Times New Roman"/>
          <w:sz w:val="22"/>
          <w:szCs w:val="22"/>
        </w:rPr>
        <w:t xml:space="preserve">Por lo anterior y toda vez que el ordenamiento ambiental territorial, tiene como propósito asesorar, proponer, formular y promover las políticas, planes y estrategias para la conservación, planificación y ordenamiento integral ambiental de las cuencas hidrográficas de la jurisdicción, con énfasis en acciones relacionadas con la gestión del riesgo y el cambio climático, que permitan su incorporación en los instrumentos de planificación territorial, para el ejercicio de la autoridad ambiental en el territorio, las subdirecciones de Recurso Hídrico y Suelo, avanzará en </w:t>
      </w:r>
      <w:r>
        <w:rPr>
          <w:rFonts w:ascii="Times New Roman" w:hAnsi="Times New Roman"/>
          <w:sz w:val="22"/>
          <w:szCs w:val="22"/>
          <w:u w:val="single"/>
        </w:rPr>
        <w:t>el diagnóstico y control a 1000 predios identificados con afectación (potencial o constituida) al recurso suelo y agua subterránea del acuífero somero, que realicen actividades industriales, de servicios y con antecedentes de extracción de minerales</w:t>
      </w:r>
      <w:r>
        <w:rPr>
          <w:rFonts w:ascii="Times New Roman" w:hAnsi="Times New Roman"/>
          <w:sz w:val="22"/>
          <w:szCs w:val="22"/>
        </w:rPr>
        <w:t xml:space="preserve"> cumpliendo la normativa ambiental, y con enfoque de sostenibilidad para la optimización del uso de suelo en la planeación de la administración de los recursos naturales.</w:t>
      </w:r>
    </w:p>
    <w:p w14:paraId="55FED412" w14:textId="77777777" w:rsidR="00D14C71" w:rsidRPr="003D08B1" w:rsidRDefault="00D14C71"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268"/>
        <w:gridCol w:w="1418"/>
        <w:gridCol w:w="3402"/>
      </w:tblGrid>
      <w:tr w:rsidR="00C76074" w:rsidRPr="00C76074" w14:paraId="7BEF793D" w14:textId="77777777" w:rsidTr="009E632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ROGRAMA</w:t>
            </w:r>
          </w:p>
        </w:tc>
        <w:tc>
          <w:tcPr>
            <w:tcW w:w="226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141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340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D14C71" w:rsidRPr="009E632D" w14:paraId="27327CCF" w14:textId="77777777" w:rsidTr="009E632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21C2E4D2" w:rsidR="00D14C71" w:rsidRPr="009E632D" w:rsidRDefault="00D14C71" w:rsidP="009E632D">
            <w:pPr>
              <w:rPr>
                <w:rFonts w:ascii="Times New Roman" w:hAnsi="Times New Roman"/>
                <w:sz w:val="22"/>
                <w:szCs w:val="22"/>
              </w:rPr>
            </w:pPr>
            <w:proofErr w:type="gramStart"/>
            <w:r w:rsidRPr="009E632D">
              <w:rPr>
                <w:rFonts w:ascii="Times New Roman" w:hAnsi="Times New Roman"/>
                <w:sz w:val="20"/>
              </w:rPr>
              <w:t>3201  -</w:t>
            </w:r>
            <w:proofErr w:type="gramEnd"/>
            <w:r w:rsidRPr="009E632D">
              <w:rPr>
                <w:rFonts w:ascii="Times New Roman" w:hAnsi="Times New Roman"/>
                <w:sz w:val="20"/>
              </w:rPr>
              <w:t xml:space="preserve"> Fortalecimiento del desempeño ambiental de los sectores productivos</w:t>
            </w:r>
          </w:p>
        </w:tc>
        <w:tc>
          <w:tcPr>
            <w:tcW w:w="226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4CD11E7C" w:rsidR="00D14C71" w:rsidRPr="009E632D" w:rsidRDefault="00D14C71" w:rsidP="009E632D">
            <w:pPr>
              <w:rPr>
                <w:rFonts w:ascii="Times New Roman" w:hAnsi="Times New Roman"/>
                <w:sz w:val="22"/>
                <w:szCs w:val="22"/>
              </w:rPr>
            </w:pPr>
            <w:r w:rsidRPr="009E632D">
              <w:rPr>
                <w:rFonts w:ascii="Times New Roman" w:hAnsi="Times New Roman"/>
                <w:sz w:val="20"/>
              </w:rPr>
              <w:t>Pacto por Colombia, pacto por la Equidad</w:t>
            </w:r>
          </w:p>
        </w:tc>
        <w:tc>
          <w:tcPr>
            <w:tcW w:w="141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0D8B5EDB" w:rsidR="00D14C71" w:rsidRPr="009E632D" w:rsidRDefault="00D14C71" w:rsidP="009E632D">
            <w:pPr>
              <w:rPr>
                <w:rFonts w:ascii="Times New Roman" w:hAnsi="Times New Roman"/>
                <w:sz w:val="22"/>
                <w:szCs w:val="22"/>
              </w:rPr>
            </w:pPr>
            <w:r w:rsidRPr="009E632D">
              <w:rPr>
                <w:rFonts w:ascii="Times New Roman" w:hAnsi="Times New Roman"/>
                <w:sz w:val="20"/>
              </w:rPr>
              <w:t>Pacto por la</w:t>
            </w:r>
            <w:r w:rsidRPr="009E632D">
              <w:rPr>
                <w:rFonts w:ascii="Times New Roman" w:hAnsi="Times New Roman"/>
                <w:sz w:val="20"/>
              </w:rPr>
              <w:br/>
              <w:t>Sostenibilidad</w:t>
            </w:r>
          </w:p>
        </w:tc>
        <w:tc>
          <w:tcPr>
            <w:tcW w:w="340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3AAA92AD" w:rsidR="00D14C71" w:rsidRPr="009E632D" w:rsidRDefault="00D14C71" w:rsidP="009E632D">
            <w:pPr>
              <w:rPr>
                <w:rFonts w:ascii="Times New Roman" w:hAnsi="Times New Roman"/>
                <w:sz w:val="22"/>
                <w:szCs w:val="22"/>
              </w:rPr>
            </w:pPr>
            <w:r w:rsidRPr="009E632D">
              <w:rPr>
                <w:rFonts w:ascii="Times New Roman" w:hAnsi="Times New Roman"/>
                <w:sz w:val="20"/>
              </w:rPr>
              <w:t>Contar con entidades</w:t>
            </w:r>
            <w:r w:rsidR="009E632D">
              <w:rPr>
                <w:rFonts w:ascii="Times New Roman" w:hAnsi="Times New Roman"/>
                <w:sz w:val="20"/>
              </w:rPr>
              <w:t xml:space="preserve"> </w:t>
            </w:r>
            <w:r w:rsidRPr="009E632D">
              <w:rPr>
                <w:rFonts w:ascii="Times New Roman" w:hAnsi="Times New Roman"/>
                <w:sz w:val="20"/>
              </w:rPr>
              <w:t>territoriales modernas y</w:t>
            </w:r>
            <w:r w:rsidR="009E632D">
              <w:rPr>
                <w:rFonts w:ascii="Times New Roman" w:hAnsi="Times New Roman"/>
                <w:sz w:val="20"/>
              </w:rPr>
              <w:t xml:space="preserve"> </w:t>
            </w:r>
            <w:r w:rsidRPr="009E632D">
              <w:rPr>
                <w:rFonts w:ascii="Times New Roman" w:hAnsi="Times New Roman"/>
                <w:sz w:val="20"/>
              </w:rPr>
              <w:t>fortalecidas, que generen y</w:t>
            </w:r>
            <w:r w:rsidRPr="009E632D">
              <w:rPr>
                <w:rFonts w:ascii="Times New Roman" w:hAnsi="Times New Roman"/>
                <w:sz w:val="20"/>
              </w:rPr>
              <w:br/>
              <w:t>ejecuten recursos de forma</w:t>
            </w:r>
            <w:r w:rsidR="009E632D">
              <w:rPr>
                <w:rFonts w:ascii="Times New Roman" w:hAnsi="Times New Roman"/>
                <w:sz w:val="20"/>
              </w:rPr>
              <w:t xml:space="preserve"> </w:t>
            </w:r>
            <w:r w:rsidRPr="009E632D">
              <w:rPr>
                <w:rFonts w:ascii="Times New Roman" w:hAnsi="Times New Roman"/>
                <w:sz w:val="20"/>
              </w:rPr>
              <w:t>inteligente y pensando en el</w:t>
            </w:r>
            <w:r w:rsidR="009E632D">
              <w:rPr>
                <w:rFonts w:ascii="Times New Roman" w:hAnsi="Times New Roman"/>
                <w:sz w:val="20"/>
              </w:rPr>
              <w:t xml:space="preserve"> </w:t>
            </w:r>
            <w:r w:rsidRPr="009E632D">
              <w:rPr>
                <w:rFonts w:ascii="Times New Roman" w:hAnsi="Times New Roman"/>
                <w:sz w:val="20"/>
              </w:rPr>
              <w:t xml:space="preserve">bienestar de los </w:t>
            </w:r>
            <w:r w:rsidR="009E632D">
              <w:rPr>
                <w:rFonts w:ascii="Times New Roman" w:hAnsi="Times New Roman"/>
                <w:sz w:val="20"/>
              </w:rPr>
              <w:t>c</w:t>
            </w:r>
            <w:r w:rsidRPr="009E632D">
              <w:rPr>
                <w:rFonts w:ascii="Times New Roman" w:hAnsi="Times New Roman"/>
                <w:sz w:val="20"/>
              </w:rPr>
              <w:t>iudadanos.</w:t>
            </w:r>
          </w:p>
        </w:tc>
      </w:tr>
    </w:tbl>
    <w:p w14:paraId="236415A7" w14:textId="54A22253"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t>Fuente:</w:t>
      </w:r>
      <w:r w:rsidR="00D14C71">
        <w:rPr>
          <w:rFonts w:ascii="Times New Roman" w:hAnsi="Times New Roman"/>
          <w:i/>
          <w:iCs/>
          <w:sz w:val="18"/>
          <w:szCs w:val="18"/>
        </w:rPr>
        <w:t xml:space="preserve"> </w:t>
      </w:r>
      <w:r w:rsidR="009E632D" w:rsidRPr="009E632D">
        <w:rPr>
          <w:rFonts w:ascii="Times New Roman" w:hAnsi="Times New Roman"/>
          <w:i/>
          <w:iCs/>
          <w:sz w:val="18"/>
          <w:szCs w:val="18"/>
        </w:rPr>
        <w:t>SDA – Ficha de Formulación MGA 2020</w:t>
      </w:r>
    </w:p>
    <w:p w14:paraId="56EAD8C1" w14:textId="77777777" w:rsidR="00F550E3" w:rsidRDefault="00F550E3">
      <w:pPr>
        <w:jc w:val="left"/>
        <w:rPr>
          <w:rFonts w:ascii="Times New Roman" w:hAnsi="Times New Roman"/>
          <w:sz w:val="22"/>
          <w:szCs w:val="22"/>
        </w:rPr>
      </w:pPr>
    </w:p>
    <w:p w14:paraId="0829DB66" w14:textId="6CA6684E" w:rsid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46FC5792" w14:textId="59B850C8" w:rsidR="00DF263B" w:rsidRDefault="00DF263B" w:rsidP="00DF263B">
      <w:pPr>
        <w:pStyle w:val="Prrafodelista"/>
        <w:pBdr>
          <w:top w:val="nil"/>
          <w:left w:val="nil"/>
          <w:bottom w:val="nil"/>
          <w:right w:val="nil"/>
          <w:between w:val="nil"/>
        </w:pBdr>
        <w:ind w:left="1276"/>
        <w:jc w:val="left"/>
        <w:rPr>
          <w:rFonts w:ascii="Times New Roman" w:hAnsi="Times New Roman"/>
          <w:b/>
          <w:bCs/>
          <w:color w:val="000000"/>
          <w:sz w:val="28"/>
          <w:szCs w:val="22"/>
        </w:rPr>
      </w:pPr>
    </w:p>
    <w:p w14:paraId="0EFFF335" w14:textId="20AE1E5F" w:rsidR="00DF263B" w:rsidRPr="00DF263B" w:rsidRDefault="00DF263B" w:rsidP="00DF263B">
      <w:pPr>
        <w:pBdr>
          <w:top w:val="nil"/>
          <w:left w:val="nil"/>
          <w:bottom w:val="nil"/>
          <w:right w:val="nil"/>
          <w:between w:val="nil"/>
        </w:pBdr>
        <w:jc w:val="left"/>
        <w:rPr>
          <w:rFonts w:ascii="Times New Roman" w:hAnsi="Times New Roman"/>
          <w:color w:val="000000"/>
          <w:szCs w:val="24"/>
        </w:rPr>
      </w:pPr>
      <w:r w:rsidRPr="00DF263B">
        <w:rPr>
          <w:rFonts w:ascii="Times New Roman" w:hAnsi="Times New Roman"/>
          <w:color w:val="000000"/>
          <w:szCs w:val="24"/>
        </w:rPr>
        <w:t>No aplica al plan de Desarrollo departamental ya que las intervenciones son sobre el suelo del Perímetro urbano del Distrito.</w:t>
      </w:r>
    </w:p>
    <w:p w14:paraId="261B38D1" w14:textId="160E8A9E" w:rsidR="009E632D" w:rsidRDefault="009E632D" w:rsidP="009E632D">
      <w:pPr>
        <w:pBdr>
          <w:top w:val="nil"/>
          <w:left w:val="nil"/>
          <w:bottom w:val="nil"/>
          <w:right w:val="nil"/>
          <w:between w:val="nil"/>
        </w:pBdr>
        <w:ind w:left="196"/>
        <w:jc w:val="left"/>
        <w:rPr>
          <w:rFonts w:ascii="Times New Roman" w:hAnsi="Times New Roman"/>
          <w:b/>
          <w:bCs/>
          <w:color w:val="000000"/>
          <w:szCs w:val="24"/>
        </w:rPr>
      </w:pPr>
    </w:p>
    <w:p w14:paraId="7B704089" w14:textId="4D211767" w:rsidR="00F550E3" w:rsidRPr="00173C07"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8E276A1"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p w14:paraId="1E1FEBC2"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 xml:space="preserve">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w:t>
      </w:r>
      <w:r>
        <w:rPr>
          <w:rFonts w:ascii="Times New Roman" w:hAnsi="Times New Roman"/>
          <w:color w:val="000000" w:themeColor="text1"/>
          <w:sz w:val="22"/>
          <w:szCs w:val="22"/>
        </w:rPr>
        <w:lastRenderedPageBreak/>
        <w:t>los próximos cuatro años, dado lo anterior, el quehacer de la Secretaría Distrital de Ambiente toma especial relevancia por lo que los proyectos de inversión de este sector serán de vital importancia para el mejoramiento de las condiciones sociales y ambientales de la ciudadanía.</w:t>
      </w:r>
    </w:p>
    <w:p w14:paraId="49A43A4E" w14:textId="77777777" w:rsidR="009E632D" w:rsidRDefault="009E632D" w:rsidP="009E632D">
      <w:pPr>
        <w:rPr>
          <w:rFonts w:ascii="Times New Roman" w:hAnsi="Times New Roman"/>
          <w:color w:val="000000" w:themeColor="text1"/>
          <w:sz w:val="22"/>
          <w:szCs w:val="22"/>
        </w:rPr>
      </w:pPr>
    </w:p>
    <w:p w14:paraId="3C5DB175"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Además, particularmente en Propósito 2 del PDD que corresponde a “Cambiar nuestros hábitos de vida para reverdecer a Bogotá́ y adaptarnos y mitigar el cambio climático”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diagnóstico de las condiciones del suelo y el agua subterránea del acuífero somero, a través del fortalecimiento de las actividades de evaluación, control y seguimiento ambiental, se aporte de manera directa e indirecta al cumplimiento de los logros de ciudad, programas y metas, en los que se encuentra inmerso:</w:t>
      </w:r>
    </w:p>
    <w:p w14:paraId="716D974A" w14:textId="77777777" w:rsidR="009E632D" w:rsidRDefault="009E632D" w:rsidP="009E632D">
      <w:pPr>
        <w:rPr>
          <w:rFonts w:ascii="Times New Roman" w:hAnsi="Times New Roman"/>
          <w:sz w:val="22"/>
          <w:szCs w:val="22"/>
        </w:rPr>
      </w:pPr>
    </w:p>
    <w:p w14:paraId="1451DE28"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Logro de Ciudad:</w:t>
      </w:r>
      <w:r>
        <w:rPr>
          <w:rFonts w:ascii="Times New Roman" w:hAnsi="Times New Roman"/>
          <w:sz w:val="22"/>
          <w:szCs w:val="22"/>
        </w:rPr>
        <w:t xml:space="preserve"> Intervenir integralmente áreas estratégicas de Bogotá teniendo en cuenta las dinámicas patrimoniales, ambientales, sociales y culturales.</w:t>
      </w:r>
    </w:p>
    <w:p w14:paraId="23C46A24"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Programa:</w:t>
      </w:r>
      <w:r>
        <w:rPr>
          <w:rFonts w:ascii="Times New Roman" w:hAnsi="Times New Roman"/>
          <w:sz w:val="22"/>
          <w:szCs w:val="22"/>
        </w:rPr>
        <w:t xml:space="preserve"> Cuidado de todas las formas de vida.</w:t>
      </w:r>
    </w:p>
    <w:p w14:paraId="4128B71A"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 xml:space="preserve">Meta: </w:t>
      </w:r>
      <w:r>
        <w:rPr>
          <w:rFonts w:ascii="Times New Roman" w:hAnsi="Times New Roman"/>
          <w:sz w:val="22"/>
          <w:szCs w:val="22"/>
        </w:rPr>
        <w:t>Realizar el diagnóstico y control ambiental a 1000 predios de sitios contaminados, suelos degradados y pasivos ambientales.</w:t>
      </w:r>
    </w:p>
    <w:p w14:paraId="5B88368A" w14:textId="77777777" w:rsidR="002C516A" w:rsidRDefault="002C516A" w:rsidP="002C516A">
      <w:pPr>
        <w:rPr>
          <w:rFonts w:ascii="Times New Roman" w:hAnsi="Times New Roman"/>
          <w:sz w:val="22"/>
          <w:szCs w:val="22"/>
        </w:rPr>
      </w:pPr>
    </w:p>
    <w:p w14:paraId="13A138C8" w14:textId="77777777" w:rsidR="002C516A" w:rsidRDefault="002C516A" w:rsidP="002C516A">
      <w:pPr>
        <w:rPr>
          <w:rFonts w:ascii="Times New Roman" w:hAnsi="Times New Roman"/>
          <w:sz w:val="22"/>
          <w:szCs w:val="22"/>
        </w:rPr>
      </w:pPr>
    </w:p>
    <w:p w14:paraId="2B0C12AB" w14:textId="77777777" w:rsidR="002C516A" w:rsidRDefault="002C516A" w:rsidP="002C516A">
      <w:pPr>
        <w:rPr>
          <w:rFonts w:ascii="Times New Roman" w:hAnsi="Times New Roman"/>
          <w:sz w:val="22"/>
          <w:szCs w:val="22"/>
        </w:rPr>
      </w:pPr>
    </w:p>
    <w:p w14:paraId="025D5B97" w14:textId="77777777" w:rsidR="005F55ED" w:rsidRPr="0018003D" w:rsidRDefault="005F55ED">
      <w:pPr>
        <w:jc w:val="left"/>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9E632D" w:rsidRPr="009E632D" w14:paraId="19C5E243" w14:textId="77777777" w:rsidTr="009E632D">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3548DC1"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DCEE806"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687691F"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Asentamientos y entornos protectores</w:t>
            </w:r>
          </w:p>
        </w:tc>
      </w:tr>
    </w:tbl>
    <w:p w14:paraId="403B69FB" w14:textId="07AAC280"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9E632D" w:rsidRPr="009E632D">
        <w:t xml:space="preserve"> </w:t>
      </w:r>
      <w:r w:rsidR="009E632D" w:rsidRPr="009E632D">
        <w:rPr>
          <w:rFonts w:ascii="Times New Roman" w:hAnsi="Times New Roman"/>
          <w:i/>
          <w:iCs/>
          <w:sz w:val="18"/>
          <w:szCs w:val="18"/>
        </w:rPr>
        <w:t>SDA – Ficha de Formulación MGA 2020</w:t>
      </w:r>
    </w:p>
    <w:p w14:paraId="79C28203" w14:textId="77777777" w:rsidR="003B1BD0" w:rsidRDefault="003B1BD0">
      <w:pPr>
        <w:ind w:left="720"/>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455EA7A9" w:rsidR="00F550E3" w:rsidRDefault="00F550E3">
      <w:pPr>
        <w:jc w:val="left"/>
        <w:rPr>
          <w:rFonts w:ascii="Times New Roman" w:hAnsi="Times New Roman"/>
          <w:sz w:val="22"/>
          <w:szCs w:val="22"/>
        </w:rPr>
      </w:pPr>
    </w:p>
    <w:p w14:paraId="6DB3E686" w14:textId="691165A4" w:rsidR="009E632D" w:rsidRDefault="009E632D" w:rsidP="009E632D">
      <w:pPr>
        <w:jc w:val="center"/>
        <w:rPr>
          <w:rFonts w:ascii="Times New Roman" w:hAnsi="Times New Roman"/>
          <w:sz w:val="22"/>
          <w:szCs w:val="22"/>
        </w:rPr>
      </w:pPr>
      <w:r>
        <w:rPr>
          <w:rFonts w:ascii="Times New Roman" w:hAnsi="Times New Roman"/>
          <w:noProof/>
          <w:lang w:eastAsia="es-CO"/>
        </w:rPr>
        <w:drawing>
          <wp:inline distT="0" distB="0" distL="0" distR="0" wp14:anchorId="70184249" wp14:editId="6F60A11A">
            <wp:extent cx="1276350" cy="695325"/>
            <wp:effectExtent l="0" t="0" r="0" b="9525"/>
            <wp:docPr id="1" name="Imagen 1" descr="El Objetivo 11 de los ODS desde un enfoqu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descr="El Objetivo 11 de los ODS desde un enfoque de derech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695325"/>
                    </a:xfrm>
                    <a:prstGeom prst="rect">
                      <a:avLst/>
                    </a:prstGeom>
                    <a:noFill/>
                    <a:ln>
                      <a:noFill/>
                    </a:ln>
                  </pic:spPr>
                </pic:pic>
              </a:graphicData>
            </a:graphic>
          </wp:inline>
        </w:drawing>
      </w:r>
    </w:p>
    <w:p w14:paraId="299F9433" w14:textId="77777777" w:rsidR="009E632D" w:rsidRDefault="009E632D" w:rsidP="009E632D">
      <w:pPr>
        <w:rPr>
          <w:rFonts w:ascii="Times New Roman" w:hAnsi="Times New Roman"/>
          <w:sz w:val="22"/>
          <w:szCs w:val="22"/>
        </w:rPr>
      </w:pPr>
      <w:r>
        <w:rPr>
          <w:rFonts w:ascii="Times New Roman" w:hAnsi="Times New Roman"/>
          <w:sz w:val="22"/>
          <w:szCs w:val="22"/>
        </w:rPr>
        <w:t xml:space="preserve">De acuerdo con el Objetivo de Desarrollo Sostenible 11. Lograr que las ciudades y los asentamientos humanos sean inclusivos, seguros, resilientes y sostenibles, es necesario contar con información primaria sobre el estado del suelo y el agua subterránea del acuífero somero, que permita tomar decisiones de planificación sobre la administración de recurso en el distrito capital y asimismo aportando al Objetivo Especifico 2 del CONPES 3918 que propone: </w:t>
      </w:r>
      <w:r>
        <w:rPr>
          <w:rFonts w:ascii="Times New Roman" w:hAnsi="Times New Roman"/>
          <w:i/>
          <w:iCs/>
          <w:sz w:val="22"/>
          <w:szCs w:val="22"/>
        </w:rPr>
        <w:t>”Definir un plan de fortalecimiento de la producción y el manejo de datos para la medición del desarrollo sostenible, en particular para aquellos objetivos y metas para los cuales no se cuenta con información al momento de la elaboración de este documento CONPES.”</w:t>
      </w:r>
      <w:r>
        <w:rPr>
          <w:rFonts w:ascii="Times New Roman" w:hAnsi="Times New Roman"/>
          <w:sz w:val="22"/>
          <w:szCs w:val="22"/>
        </w:rPr>
        <w:t xml:space="preserve"> </w:t>
      </w:r>
    </w:p>
    <w:p w14:paraId="6A052332" w14:textId="77777777" w:rsidR="009E632D" w:rsidRDefault="009E632D" w:rsidP="009E632D">
      <w:pPr>
        <w:rPr>
          <w:rFonts w:ascii="Times New Roman" w:hAnsi="Times New Roman"/>
          <w:sz w:val="22"/>
          <w:szCs w:val="22"/>
        </w:rPr>
      </w:pPr>
    </w:p>
    <w:p w14:paraId="6224179E" w14:textId="77777777" w:rsidR="009E632D" w:rsidRDefault="009E632D" w:rsidP="009E632D">
      <w:pPr>
        <w:rPr>
          <w:rFonts w:ascii="Times New Roman" w:hAnsi="Times New Roman"/>
          <w:sz w:val="22"/>
          <w:szCs w:val="22"/>
        </w:rPr>
      </w:pPr>
      <w:r>
        <w:rPr>
          <w:rFonts w:ascii="Times New Roman" w:hAnsi="Times New Roman"/>
          <w:sz w:val="22"/>
          <w:szCs w:val="22"/>
        </w:rPr>
        <w:lastRenderedPageBreak/>
        <w:t>Por otro lado y el diagnostico aporta al objetivo específico de ,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2015- 2030, la gestión integral de los riesgos de desastre a todos los niveles.</w:t>
      </w:r>
    </w:p>
    <w:p w14:paraId="5B52C68D" w14:textId="05552A78" w:rsidR="009E632D" w:rsidRDefault="009E632D">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0"/>
        <w:gridCol w:w="2268"/>
        <w:gridCol w:w="2126"/>
        <w:gridCol w:w="2127"/>
      </w:tblGrid>
      <w:tr w:rsidR="00DF263B" w:rsidRPr="0018003D" w14:paraId="49357576" w14:textId="77777777" w:rsidTr="004E65D7">
        <w:trPr>
          <w:trHeight w:val="389"/>
        </w:trPr>
        <w:tc>
          <w:tcPr>
            <w:tcW w:w="2410" w:type="dxa"/>
            <w:shd w:val="clear" w:color="auto" w:fill="538135" w:themeFill="accent6" w:themeFillShade="BF"/>
            <w:tcMar>
              <w:top w:w="100" w:type="dxa"/>
              <w:left w:w="100" w:type="dxa"/>
              <w:bottom w:w="100" w:type="dxa"/>
              <w:right w:w="100" w:type="dxa"/>
            </w:tcMar>
            <w:vAlign w:val="center"/>
          </w:tcPr>
          <w:p w14:paraId="6ADAFC84"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2268" w:type="dxa"/>
            <w:shd w:val="clear" w:color="auto" w:fill="538135" w:themeFill="accent6" w:themeFillShade="BF"/>
          </w:tcPr>
          <w:p w14:paraId="6E164C83" w14:textId="77777777" w:rsidR="00DF263B" w:rsidRDefault="00DF263B" w:rsidP="004E65D7">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8822178" w14:textId="77777777" w:rsidR="00DF263B" w:rsidRPr="0018003D" w:rsidRDefault="00DF263B" w:rsidP="004E65D7">
            <w:pPr>
              <w:jc w:val="center"/>
              <w:rPr>
                <w:rFonts w:ascii="Times New Roman" w:hAnsi="Times New Roman"/>
                <w:color w:val="FFFFFF"/>
                <w:sz w:val="22"/>
                <w:szCs w:val="22"/>
              </w:rPr>
            </w:pPr>
            <w:r>
              <w:rPr>
                <w:rFonts w:ascii="Times New Roman" w:hAnsi="Times New Roman"/>
                <w:b/>
                <w:color w:val="FFFFFF"/>
                <w:sz w:val="22"/>
                <w:szCs w:val="22"/>
              </w:rPr>
              <w:t>INDICADOR ODS</w:t>
            </w:r>
          </w:p>
        </w:tc>
        <w:tc>
          <w:tcPr>
            <w:tcW w:w="2127" w:type="dxa"/>
            <w:shd w:val="clear" w:color="auto" w:fill="538135" w:themeFill="accent6" w:themeFillShade="BF"/>
          </w:tcPr>
          <w:p w14:paraId="634AD760"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META</w:t>
            </w:r>
            <w:r>
              <w:rPr>
                <w:rFonts w:ascii="Times New Roman" w:hAnsi="Times New Roman"/>
                <w:b/>
                <w:color w:val="FFFFFF"/>
                <w:sz w:val="22"/>
                <w:szCs w:val="22"/>
              </w:rPr>
              <w:t xml:space="preserve"> PLAN DE DESARROLO </w:t>
            </w:r>
          </w:p>
        </w:tc>
      </w:tr>
      <w:tr w:rsidR="00DF263B" w:rsidRPr="004E65D7" w14:paraId="2C204F48" w14:textId="77777777" w:rsidTr="004E65D7">
        <w:trPr>
          <w:trHeight w:val="374"/>
        </w:trPr>
        <w:tc>
          <w:tcPr>
            <w:tcW w:w="2410" w:type="dxa"/>
            <w:tcMar>
              <w:top w:w="100" w:type="dxa"/>
              <w:left w:w="100" w:type="dxa"/>
              <w:bottom w:w="100" w:type="dxa"/>
              <w:right w:w="100" w:type="dxa"/>
            </w:tcMar>
          </w:tcPr>
          <w:p w14:paraId="22E805D0" w14:textId="077665F6" w:rsidR="00DF263B" w:rsidRPr="004E65D7" w:rsidRDefault="00DF263B" w:rsidP="00DF263B">
            <w:pPr>
              <w:jc w:val="center"/>
              <w:rPr>
                <w:rFonts w:ascii="Times New Roman" w:hAnsi="Times New Roman"/>
                <w:sz w:val="16"/>
                <w:szCs w:val="16"/>
                <w:highlight w:val="white"/>
              </w:rPr>
            </w:pPr>
            <w:r w:rsidRPr="004E65D7">
              <w:rPr>
                <w:rFonts w:ascii="Times New Roman" w:hAnsi="Times New Roman"/>
                <w:sz w:val="16"/>
                <w:szCs w:val="16"/>
                <w:highlight w:val="white"/>
              </w:rPr>
              <w:t xml:space="preserve">11. </w:t>
            </w:r>
            <w:r w:rsidRPr="004E65D7">
              <w:rPr>
                <w:rFonts w:ascii="Times New Roman" w:hAnsi="Times New Roman"/>
                <w:sz w:val="16"/>
                <w:szCs w:val="16"/>
              </w:rPr>
              <w:t>Lograr que las ciudades y los asentamientos humanos sean inclusivos, seguros, resilientes y sostenibles</w:t>
            </w:r>
          </w:p>
        </w:tc>
        <w:tc>
          <w:tcPr>
            <w:tcW w:w="2268" w:type="dxa"/>
          </w:tcPr>
          <w:p w14:paraId="18D00C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highlight w:val="white"/>
              </w:rPr>
              <w:t xml:space="preserve">11b. </w:t>
            </w:r>
            <w:r w:rsidRPr="004E65D7">
              <w:rPr>
                <w:rFonts w:ascii="Times New Roman" w:hAnsi="Times New Roman"/>
                <w:sz w:val="16"/>
                <w:szCs w:val="16"/>
              </w:rPr>
              <w:t>De aquí a 2020, aumentar considerablemente el número de</w:t>
            </w:r>
          </w:p>
          <w:p w14:paraId="008B805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ciudades y asentamientos humanos que adoptan e</w:t>
            </w:r>
          </w:p>
          <w:p w14:paraId="02C83B18"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implementan políticas y planes integrados para promover la</w:t>
            </w:r>
          </w:p>
          <w:p w14:paraId="568FA9E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inclusión, el uso eficiente de los recursos, la mitigación del</w:t>
            </w:r>
          </w:p>
          <w:p w14:paraId="60754835"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cambio climático y la adaptación a él y la resiliencia ante los</w:t>
            </w:r>
          </w:p>
          <w:p w14:paraId="0E60099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y desarrollar y poner en práctica, en consonancia</w:t>
            </w:r>
          </w:p>
          <w:p w14:paraId="155C0A99"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 Riesgo de</w:t>
            </w:r>
          </w:p>
          <w:p w14:paraId="070F39EC"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2015-2030, la gestión integral de los riesgos de</w:t>
            </w:r>
          </w:p>
          <w:p w14:paraId="3A33BD27" w14:textId="6E2DB7E5"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desastre a todos los niveles</w:t>
            </w:r>
          </w:p>
        </w:tc>
        <w:tc>
          <w:tcPr>
            <w:tcW w:w="2126" w:type="dxa"/>
            <w:tcMar>
              <w:top w:w="100" w:type="dxa"/>
              <w:left w:w="100" w:type="dxa"/>
              <w:bottom w:w="100" w:type="dxa"/>
              <w:right w:w="100" w:type="dxa"/>
            </w:tcMar>
          </w:tcPr>
          <w:p w14:paraId="755CDA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11.b.1 Proporción de los gobiernos locales que adoptan</w:t>
            </w:r>
          </w:p>
          <w:p w14:paraId="0646A4B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e implementan estrategias locales para la</w:t>
            </w:r>
          </w:p>
          <w:p w14:paraId="5F2AB1D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reducción del riesgo de desastres en consonancia</w:t>
            </w:r>
          </w:p>
          <w:p w14:paraId="03F4598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w:t>
            </w:r>
          </w:p>
          <w:p w14:paraId="501B1EC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Riesgo de Desastres 2015-2030</w:t>
            </w:r>
          </w:p>
          <w:p w14:paraId="3B79965C" w14:textId="77777777" w:rsidR="004E65D7" w:rsidRPr="004E65D7" w:rsidRDefault="004E65D7" w:rsidP="004E65D7">
            <w:pPr>
              <w:jc w:val="left"/>
              <w:rPr>
                <w:rFonts w:ascii="Times New Roman" w:hAnsi="Times New Roman"/>
                <w:sz w:val="16"/>
                <w:szCs w:val="16"/>
              </w:rPr>
            </w:pPr>
          </w:p>
          <w:p w14:paraId="428A12E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11.b.2 Número de países con estrategias nacionales y</w:t>
            </w:r>
          </w:p>
          <w:p w14:paraId="6DEC4AAC" w14:textId="4602F1D8"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locales para la reducción del riesgo de desastres</w:t>
            </w:r>
          </w:p>
        </w:tc>
        <w:tc>
          <w:tcPr>
            <w:tcW w:w="2127" w:type="dxa"/>
          </w:tcPr>
          <w:p w14:paraId="1CF98998" w14:textId="05E25164"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Realizar el diagnóstico y control ambiental a 1.000 predios de sitios contaminados, suelos degradados y pasivos ambientales</w:t>
            </w:r>
          </w:p>
        </w:tc>
      </w:tr>
    </w:tbl>
    <w:p w14:paraId="225C50F6" w14:textId="75EC5C25" w:rsidR="00DF263B" w:rsidRPr="00823F67" w:rsidRDefault="00DF263B" w:rsidP="00DF263B">
      <w:pPr>
        <w:ind w:left="1440" w:hanging="708"/>
        <w:jc w:val="center"/>
        <w:rPr>
          <w:rFonts w:ascii="Times New Roman" w:hAnsi="Times New Roman"/>
          <w:sz w:val="18"/>
          <w:szCs w:val="18"/>
        </w:rPr>
      </w:pPr>
      <w:r w:rsidRPr="00823F67">
        <w:rPr>
          <w:rFonts w:ascii="Times New Roman" w:hAnsi="Times New Roman"/>
          <w:i/>
          <w:iCs/>
          <w:sz w:val="18"/>
          <w:szCs w:val="18"/>
        </w:rPr>
        <w:t>Fuente:</w:t>
      </w:r>
      <w:r w:rsidRPr="00DF263B">
        <w:rPr>
          <w:rFonts w:ascii="Times New Roman" w:hAnsi="Times New Roman"/>
          <w:i/>
          <w:iCs/>
          <w:sz w:val="18"/>
          <w:szCs w:val="18"/>
        </w:rPr>
        <w:t xml:space="preserve"> </w:t>
      </w:r>
      <w:r w:rsidRPr="009E632D">
        <w:rPr>
          <w:rFonts w:ascii="Times New Roman" w:hAnsi="Times New Roman"/>
          <w:i/>
          <w:iCs/>
          <w:sz w:val="18"/>
          <w:szCs w:val="18"/>
        </w:rPr>
        <w:t>SDA – Ficha de Formulación MGA 2020</w:t>
      </w:r>
    </w:p>
    <w:p w14:paraId="2F4AFD0F" w14:textId="77777777" w:rsidR="00DF263B" w:rsidRDefault="00DF263B">
      <w:pPr>
        <w:jc w:val="left"/>
        <w:rPr>
          <w:rFonts w:ascii="Times New Roman" w:hAnsi="Times New Roman"/>
          <w:sz w:val="22"/>
          <w:szCs w:val="22"/>
        </w:rPr>
      </w:pPr>
    </w:p>
    <w:p w14:paraId="28BBBD6C" w14:textId="77777777" w:rsidR="009E632D" w:rsidRPr="0018003D" w:rsidRDefault="009E632D">
      <w:pPr>
        <w:jc w:val="left"/>
        <w:rPr>
          <w:rFonts w:ascii="Times New Roman" w:hAnsi="Times New Roman"/>
          <w:sz w:val="22"/>
          <w:szCs w:val="22"/>
        </w:rPr>
      </w:pPr>
    </w:p>
    <w:p w14:paraId="3B45F7E6" w14:textId="1D2BBC48" w:rsidR="00F550E3" w:rsidRPr="00E8661C" w:rsidRDefault="00000000" w:rsidP="00A910D6">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1">
        <w:r w:rsidR="0018003D" w:rsidRPr="00E8661C">
          <w:rPr>
            <w:rFonts w:ascii="Times New Roman" w:hAnsi="Times New Roman"/>
            <w:b/>
            <w:bCs/>
            <w:color w:val="000000"/>
            <w:sz w:val="28"/>
            <w:szCs w:val="22"/>
          </w:rPr>
          <w:t>Problemática</w:t>
        </w:r>
      </w:hyperlink>
      <w:hyperlink r:id="rId12">
        <w:r w:rsidR="0018003D" w:rsidRPr="00E8661C">
          <w:rPr>
            <w:rFonts w:ascii="Times New Roman" w:hAnsi="Times New Roman"/>
            <w:b/>
            <w:bCs/>
            <w:color w:val="000000"/>
            <w:sz w:val="28"/>
            <w:szCs w:val="22"/>
          </w:rPr>
          <w:t xml:space="preserve"> </w:t>
        </w:r>
      </w:hyperlink>
    </w:p>
    <w:p w14:paraId="175D3F48" w14:textId="77777777" w:rsidR="00D9798D" w:rsidRDefault="00D9798D" w:rsidP="00D9798D">
      <w:pPr>
        <w:rPr>
          <w:color w:val="000000"/>
          <w:szCs w:val="24"/>
          <w:lang w:eastAsia="es-CO"/>
        </w:rPr>
      </w:pPr>
    </w:p>
    <w:p w14:paraId="5090BB8C" w14:textId="5EC286BB" w:rsidR="0071369E" w:rsidRPr="00B5364F" w:rsidRDefault="00B5364F"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2B33EFE5" w14:textId="77777777" w:rsidR="009E632D" w:rsidRDefault="009E632D" w:rsidP="009E632D">
      <w:pPr>
        <w:rPr>
          <w:rFonts w:ascii="Times New Roman" w:hAnsi="Times New Roman"/>
          <w:sz w:val="22"/>
          <w:szCs w:val="22"/>
        </w:rPr>
      </w:pPr>
      <w:r>
        <w:rPr>
          <w:rFonts w:ascii="Times New Roman" w:hAnsi="Times New Roman"/>
          <w:sz w:val="22"/>
          <w:szCs w:val="22"/>
        </w:rPr>
        <w:t>Según lo establecido en el Decreto 109 de 2009, “Por el cual se modifica la estructura de la Secretaría Distrital de Ambiente y se dictan otras disposiciones” así como por la problemática ambiental presentada en el Distrito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0286DEA4" w14:textId="77777777" w:rsidR="009E632D" w:rsidRDefault="009E632D" w:rsidP="009E632D">
      <w:pPr>
        <w:rPr>
          <w:rFonts w:ascii="Times New Roman" w:hAnsi="Times New Roman"/>
          <w:sz w:val="22"/>
          <w:szCs w:val="22"/>
        </w:rPr>
      </w:pPr>
    </w:p>
    <w:p w14:paraId="0B17E0C5" w14:textId="77777777" w:rsidR="009E632D" w:rsidRDefault="009E632D" w:rsidP="009E632D">
      <w:pPr>
        <w:rPr>
          <w:rFonts w:ascii="Times New Roman" w:hAnsi="Times New Roman"/>
          <w:szCs w:val="24"/>
          <w:lang w:eastAsia="es-CO"/>
        </w:rPr>
      </w:pPr>
      <w:bookmarkStart w:id="1" w:name="_Hlk40771372"/>
      <w:r>
        <w:rPr>
          <w:rFonts w:ascii="Times New Roman" w:hAnsi="Times New Roman"/>
          <w:b/>
          <w:bCs/>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bookmarkEnd w:id="1"/>
    </w:p>
    <w:p w14:paraId="2E1698F9" w14:textId="77777777" w:rsidR="009E632D" w:rsidRDefault="009E632D" w:rsidP="009E632D">
      <w:pPr>
        <w:jc w:val="left"/>
        <w:rPr>
          <w:rFonts w:ascii="Times New Roman" w:hAnsi="Times New Roman"/>
          <w:szCs w:val="24"/>
          <w:lang w:eastAsia="es-CO"/>
        </w:rPr>
        <w:sectPr w:rsidR="009E632D">
          <w:pgSz w:w="12240" w:h="15840"/>
          <w:pgMar w:top="1418" w:right="1701" w:bottom="1418" w:left="1701" w:header="709" w:footer="709" w:gutter="0"/>
          <w:cols w:space="720"/>
        </w:sectPr>
      </w:pPr>
    </w:p>
    <w:p w14:paraId="33F743C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lastRenderedPageBreak/>
        <w:t>Figura 1. Árbol de problemas</w:t>
      </w:r>
    </w:p>
    <w:p w14:paraId="2FF087F2" w14:textId="56756001" w:rsidR="009E632D" w:rsidRDefault="009E632D" w:rsidP="009E632D">
      <w:pPr>
        <w:pStyle w:val="Prrafodelista"/>
        <w:ind w:left="-284"/>
        <w:contextualSpacing/>
        <w:jc w:val="center"/>
        <w:rPr>
          <w:rFonts w:ascii="Times New Roman" w:hAnsi="Times New Roman"/>
          <w:szCs w:val="24"/>
          <w:lang w:eastAsia="es-CO"/>
        </w:rPr>
      </w:pPr>
      <w:r>
        <w:rPr>
          <w:rFonts w:ascii="Times New Roman" w:hAnsi="Times New Roman"/>
          <w:noProof/>
          <w:lang w:eastAsia="es-CO"/>
        </w:rPr>
        <w:drawing>
          <wp:inline distT="0" distB="0" distL="0" distR="0" wp14:anchorId="0AF67004" wp14:editId="16D7DAEB">
            <wp:extent cx="8763000" cy="504808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7453" cy="5062168"/>
                    </a:xfrm>
                    <a:prstGeom prst="rect">
                      <a:avLst/>
                    </a:prstGeom>
                    <a:noFill/>
                    <a:ln>
                      <a:noFill/>
                    </a:ln>
                  </pic:spPr>
                </pic:pic>
              </a:graphicData>
            </a:graphic>
          </wp:inline>
        </w:drawing>
      </w:r>
    </w:p>
    <w:p w14:paraId="399C0BCB" w14:textId="77777777" w:rsidR="009E632D" w:rsidRDefault="009E632D" w:rsidP="009E632D">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27D47C5" w14:textId="77777777" w:rsidR="009E632D" w:rsidRDefault="009E632D" w:rsidP="009E632D">
      <w:pPr>
        <w:jc w:val="left"/>
        <w:rPr>
          <w:rFonts w:ascii="Times New Roman" w:hAnsi="Times New Roman"/>
          <w:szCs w:val="24"/>
          <w:highlight w:val="magenta"/>
          <w:lang w:eastAsia="es-CO"/>
        </w:rPr>
        <w:sectPr w:rsidR="009E632D">
          <w:pgSz w:w="15840" w:h="12240" w:orient="landscape"/>
          <w:pgMar w:top="1276" w:right="1418" w:bottom="1276" w:left="1418" w:header="709" w:footer="709" w:gutter="0"/>
          <w:cols w:space="720"/>
        </w:sectPr>
      </w:pPr>
    </w:p>
    <w:p w14:paraId="6BB932B0" w14:textId="77777777" w:rsidR="00B5364F" w:rsidRPr="00B5364F" w:rsidRDefault="00B5364F" w:rsidP="00B5364F">
      <w:pPr>
        <w:pStyle w:val="Prrafodelista"/>
        <w:pBdr>
          <w:top w:val="nil"/>
          <w:left w:val="nil"/>
          <w:bottom w:val="nil"/>
          <w:right w:val="nil"/>
          <w:between w:val="nil"/>
        </w:pBdr>
        <w:ind w:left="851"/>
        <w:rPr>
          <w:rFonts w:ascii="Times New Roman" w:hAnsi="Times New Roman"/>
          <w:color w:val="000000"/>
          <w:sz w:val="22"/>
          <w:szCs w:val="22"/>
        </w:rPr>
      </w:pPr>
    </w:p>
    <w:p w14:paraId="11955F70" w14:textId="24B644C4" w:rsidR="0071369E" w:rsidRPr="00B5364F"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39F3506D"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La Secretaría Distrital de Ambiente ha establecido la necesidad de realizar actividades de control y vigilancia en los recursos suelo y agua subterránea del acuífero somero a través de la Subdirección del Recurso Hídrico y del Suelo, como consecuencia de la identificación de sitios potencialmente contaminados producto de afectaciones derivadas de actividades industriales o de servicios, que no solo afectan la calidad de dichos recursos, si no también que pueden llegar a condicionar el uso del lugar y  afectar el bienestar y calidad de vida de la población existente en estas áreas. Es de anotar que el suelo es un recurso de vital importancia dentro de cualquier entorno, el cual es susceptible de alterarse perdiendo su equilibrio natural debido a la presencia de contaminantes que pueden afectar negativamente las características químicas, físicas y/o biológicas del mismo, representando un riesgo para el ambiente y la salud humana. </w:t>
      </w:r>
    </w:p>
    <w:p w14:paraId="466139D1" w14:textId="77777777" w:rsidR="009E632D" w:rsidRDefault="009E632D" w:rsidP="009E632D">
      <w:pPr>
        <w:rPr>
          <w:rFonts w:ascii="Times New Roman" w:hAnsi="Times New Roman"/>
          <w:szCs w:val="24"/>
          <w:lang w:eastAsia="es-CO"/>
        </w:rPr>
      </w:pPr>
    </w:p>
    <w:p w14:paraId="1AF3E710" w14:textId="77777777" w:rsidR="009E632D" w:rsidRDefault="009E632D" w:rsidP="009E632D">
      <w:pPr>
        <w:rPr>
          <w:rFonts w:ascii="Times New Roman" w:hAnsi="Times New Roman"/>
          <w:szCs w:val="24"/>
          <w:lang w:eastAsia="es-CO"/>
        </w:rPr>
      </w:pPr>
      <w:r>
        <w:rPr>
          <w:rFonts w:ascii="Times New Roman" w:hAnsi="Times New Roman"/>
          <w:szCs w:val="24"/>
          <w:lang w:eastAsia="es-CO"/>
        </w:rPr>
        <w:t>Es así, como se establece como problema central “</w:t>
      </w:r>
      <w:r>
        <w:rPr>
          <w:rFonts w:ascii="Times New Roman" w:hAnsi="Times New Roman"/>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szCs w:val="24"/>
          <w:lang w:eastAsia="es-CO"/>
        </w:rPr>
        <w:t>”, el cual se define a través de la insuficiencia en la capacidad operativa y los recursos destinados para la realización de acciones de control y vigilancia en predios que desarrollan actividades que presentan alto riesgo para las condiciones fisicoquímicas del suelo, ya sea por el almacenamiento inadecuado de sustancias peligrosas de manera subterránea o su desacertado manejo, que genera escenarios de contaminación por migración de sustancias de interés en suelos y en el acuífero subsuperficial denominado agua subterránea del acuífero somero. Asimismo, la falta de capacidad operativa para la realización en los controles ambientales realizados a predios que desarrollaron o desarrollan actividades de extracción minera, limita la obligatoriedad de la implementación de instrumentos ambientales de recuperación y restauración en zonas afectadas principalmente en su geología, y en consecuencia es inoportuna la etapa de evaluación y seguimiento a dichos instrumentos Plan de Manejo Ambiental (PMA), Plan de Manejo Recuperación y Restauración Ambiental (PMRRA) y Plan de Restauración y Recuperación (PRR).</w:t>
      </w:r>
    </w:p>
    <w:p w14:paraId="19F40604" w14:textId="77777777" w:rsidR="009E632D" w:rsidRDefault="009E632D" w:rsidP="009E632D">
      <w:pPr>
        <w:rPr>
          <w:rFonts w:ascii="Times New Roman" w:hAnsi="Times New Roman"/>
          <w:szCs w:val="24"/>
          <w:lang w:eastAsia="es-CO"/>
        </w:rPr>
      </w:pPr>
    </w:p>
    <w:p w14:paraId="41977995"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Aunado a lo anterior la inexistencia de modelos conceptuales de captura de información, genera dificultades en el conocimiento de las características de los sitios, y la línea base del estado de degradación o afectación de estos, presentando inconvenientes y demoras en la evaluación y el seguimiento de los diagnósticos de condiciones físicas químicas y geológicas de sitios en estudio. </w:t>
      </w:r>
    </w:p>
    <w:p w14:paraId="672259E1" w14:textId="5F2173DC"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1669D7C" w14:textId="78B45A5C"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39FB8417" w14:textId="77777777"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1B8B8E7A"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w:t>
      </w:r>
      <w:r>
        <w:rPr>
          <w:rFonts w:ascii="Times New Roman" w:hAnsi="Times New Roman"/>
          <w:szCs w:val="24"/>
          <w:lang w:eastAsia="es-CO"/>
        </w:rPr>
        <w:lastRenderedPageBreak/>
        <w:t>de indicadores de referencia se describe la magnitud de la identificación para el levantamiento del diagnóstico planteado:</w:t>
      </w:r>
    </w:p>
    <w:p w14:paraId="53E59C83" w14:textId="77777777" w:rsidR="009E632D" w:rsidRDefault="009E632D" w:rsidP="009E632D">
      <w:pPr>
        <w:rPr>
          <w:rFonts w:ascii="Times New Roman" w:hAnsi="Times New Roman"/>
          <w:szCs w:val="24"/>
          <w:highlight w:val="green"/>
          <w:lang w:eastAsia="es-CO"/>
        </w:rPr>
      </w:pPr>
    </w:p>
    <w:p w14:paraId="2AB21E4A"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0E40C86A" w14:textId="77777777" w:rsidR="009E632D" w:rsidRDefault="009E632D" w:rsidP="009E632D">
      <w:pPr>
        <w:rPr>
          <w:rFonts w:ascii="Times New Roman" w:hAnsi="Times New Roman"/>
          <w:szCs w:val="24"/>
          <w:highlight w:val="green"/>
          <w:lang w:eastAsia="es-CO"/>
        </w:rPr>
      </w:pPr>
    </w:p>
    <w:p w14:paraId="6655419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6FC1B802"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75BD1E7B"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-215 predios asociados con investigación de sitio y sospecha de contaminación asociados a actividades industriales y de servicios.</w:t>
      </w:r>
    </w:p>
    <w:p w14:paraId="73475B54" w14:textId="77777777" w:rsidR="009E632D" w:rsidRDefault="009E632D" w:rsidP="009E632D">
      <w:pPr>
        <w:ind w:left="426"/>
        <w:contextualSpacing/>
        <w:rPr>
          <w:rFonts w:ascii="Times New Roman" w:hAnsi="Times New Roman"/>
          <w:szCs w:val="24"/>
          <w:lang w:eastAsia="es-CO"/>
        </w:rPr>
      </w:pPr>
    </w:p>
    <w:p w14:paraId="13878F18"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52893CA5" w14:textId="3CC04805"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eastAsia="es-CO"/>
        </w:rPr>
        <w:drawing>
          <wp:inline distT="0" distB="0" distL="0" distR="0" wp14:anchorId="40DDE449" wp14:editId="268AFAB2">
            <wp:extent cx="5724525" cy="254317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E8773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2EF0CE2D" w14:textId="07550DCD" w:rsidR="00B5364F" w:rsidRDefault="00B5364F" w:rsidP="0015408D">
      <w:pPr>
        <w:pBdr>
          <w:top w:val="nil"/>
          <w:left w:val="nil"/>
          <w:bottom w:val="nil"/>
          <w:right w:val="nil"/>
          <w:between w:val="nil"/>
        </w:pBdr>
        <w:rPr>
          <w:rFonts w:ascii="Times New Roman" w:hAnsi="Times New Roman"/>
          <w:color w:val="000000"/>
          <w:szCs w:val="24"/>
          <w:lang w:eastAsia="es-CO"/>
        </w:rPr>
      </w:pPr>
    </w:p>
    <w:p w14:paraId="64FF1A3B" w14:textId="77777777" w:rsidR="009E632D" w:rsidRDefault="009E632D"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299F8DF" w14:textId="77777777" w:rsidR="009E632D" w:rsidRDefault="009E632D" w:rsidP="009E632D">
      <w:pPr>
        <w:rPr>
          <w:rFonts w:ascii="Times New Roman" w:hAnsi="Times New Roman"/>
          <w:szCs w:val="24"/>
          <w:lang w:eastAsia="es-CO"/>
        </w:rPr>
      </w:pPr>
      <w:r>
        <w:rPr>
          <w:rFonts w:ascii="Times New Roman" w:hAnsi="Times New Roman"/>
          <w:szCs w:val="24"/>
          <w:lang w:eastAsia="es-CO"/>
        </w:rPr>
        <w:t>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de indicadores de referencia se describe la magnitud de la identificación para el levantamiento del diagnóstico planteado:</w:t>
      </w:r>
    </w:p>
    <w:p w14:paraId="47ED6F22" w14:textId="77777777" w:rsidR="009E632D" w:rsidRDefault="009E632D" w:rsidP="009E632D">
      <w:pPr>
        <w:rPr>
          <w:rFonts w:ascii="Times New Roman" w:hAnsi="Times New Roman"/>
          <w:szCs w:val="24"/>
          <w:highlight w:val="green"/>
          <w:lang w:eastAsia="es-CO"/>
        </w:rPr>
      </w:pPr>
    </w:p>
    <w:p w14:paraId="7ACD494F"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12C4CD6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2308F895"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2A3531E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lastRenderedPageBreak/>
        <w:t>-215 predios asociados con investigación de sitio y sospecha de contaminación asociados a actividades industriales y de servicios.</w:t>
      </w:r>
    </w:p>
    <w:p w14:paraId="55C7AF6D" w14:textId="77777777" w:rsidR="009E632D" w:rsidRDefault="009E632D" w:rsidP="009E632D">
      <w:pPr>
        <w:ind w:left="426"/>
        <w:contextualSpacing/>
        <w:rPr>
          <w:rFonts w:ascii="Times New Roman" w:hAnsi="Times New Roman"/>
          <w:szCs w:val="24"/>
          <w:lang w:eastAsia="es-CO"/>
        </w:rPr>
      </w:pPr>
    </w:p>
    <w:p w14:paraId="3E5E3E54" w14:textId="77777777" w:rsidR="009D6613" w:rsidRPr="009D6613" w:rsidRDefault="009D6613" w:rsidP="009D6613">
      <w:pPr>
        <w:rPr>
          <w:rFonts w:ascii="Times New Roman" w:hAnsi="Times New Roman"/>
          <w:i/>
          <w:iCs/>
          <w:szCs w:val="24"/>
          <w:lang w:eastAsia="es-CO"/>
        </w:rPr>
      </w:pPr>
      <w:r w:rsidRPr="009D6613">
        <w:rPr>
          <w:rFonts w:ascii="Times New Roman" w:hAnsi="Times New Roman"/>
          <w:i/>
          <w:iCs/>
          <w:szCs w:val="24"/>
          <w:lang w:eastAsia="es-CO"/>
        </w:rPr>
        <w:t>https://docs.google.com/spreadsheets/d/1NNrsAMghNlVoGc80MpeElxIsB6jxOQkf/edit?usp=drive_link&amp;ouid=108185980895993241554&amp;rtpof=true&amp;sd=true</w:t>
      </w:r>
    </w:p>
    <w:p w14:paraId="4B91D0AC" w14:textId="0BC8A56C" w:rsidR="009E632D" w:rsidRDefault="009E632D" w:rsidP="009E632D">
      <w:pPr>
        <w:jc w:val="left"/>
        <w:rPr>
          <w:rFonts w:ascii="Times New Roman" w:hAnsi="Times New Roman"/>
          <w:szCs w:val="24"/>
          <w:highlight w:val="green"/>
          <w:lang w:eastAsia="es-CO"/>
        </w:rPr>
      </w:pPr>
    </w:p>
    <w:p w14:paraId="2B7EE685" w14:textId="77777777" w:rsidR="009D6613" w:rsidRDefault="009D6613" w:rsidP="009E632D">
      <w:pPr>
        <w:jc w:val="left"/>
        <w:rPr>
          <w:rFonts w:ascii="Times New Roman" w:hAnsi="Times New Roman"/>
          <w:szCs w:val="24"/>
          <w:highlight w:val="green"/>
          <w:lang w:eastAsia="es-CO"/>
        </w:rPr>
      </w:pPr>
    </w:p>
    <w:p w14:paraId="33FF3412" w14:textId="77777777" w:rsidR="009E632D" w:rsidRDefault="009E632D" w:rsidP="009E632D">
      <w:pPr>
        <w:pStyle w:val="Prrafodelista"/>
        <w:numPr>
          <w:ilvl w:val="1"/>
          <w:numId w:val="25"/>
        </w:numPr>
        <w:contextualSpacing/>
        <w:jc w:val="left"/>
        <w:rPr>
          <w:rFonts w:ascii="Times New Roman" w:hAnsi="Times New Roman"/>
          <w:b/>
          <w:bCs/>
          <w:szCs w:val="24"/>
          <w:u w:val="single"/>
          <w:lang w:eastAsia="es-CO"/>
        </w:rPr>
      </w:pPr>
      <w:r>
        <w:rPr>
          <w:rFonts w:ascii="Times New Roman" w:hAnsi="Times New Roman"/>
          <w:b/>
          <w:bCs/>
          <w:szCs w:val="24"/>
          <w:u w:val="single"/>
          <w:lang w:eastAsia="es-CO"/>
        </w:rPr>
        <w:t>Antecedente y descripción de la situación actual</w:t>
      </w:r>
    </w:p>
    <w:p w14:paraId="607D6B5B" w14:textId="77777777" w:rsidR="009E632D" w:rsidRDefault="009E632D" w:rsidP="009E632D">
      <w:pPr>
        <w:jc w:val="left"/>
        <w:rPr>
          <w:rFonts w:ascii="Times New Roman" w:hAnsi="Times New Roman"/>
          <w:szCs w:val="24"/>
          <w:highlight w:val="green"/>
          <w:lang w:eastAsia="es-CO"/>
        </w:rPr>
      </w:pPr>
    </w:p>
    <w:p w14:paraId="468C7393" w14:textId="438C6FD8" w:rsidR="009E632D" w:rsidRDefault="009E632D" w:rsidP="009E632D">
      <w:pPr>
        <w:rPr>
          <w:rFonts w:ascii="Times New Roman" w:hAnsi="Times New Roman"/>
          <w:szCs w:val="24"/>
          <w:lang w:eastAsia="es-CO"/>
        </w:rPr>
      </w:pPr>
      <w:r>
        <w:rPr>
          <w:rFonts w:ascii="Times New Roman" w:hAnsi="Times New Roman"/>
          <w:szCs w:val="24"/>
          <w:lang w:eastAsia="es-CO"/>
        </w:rPr>
        <w:t xml:space="preserve">Durante los años 2016 a 2019, desde la Secretaría Distrital de Ambiente se desarrolló una investigación en la cual se identificó los predios que desarrollaron actividades industriales y de servicios que generaron afectación en el suelo, así como los predios en los que se determinaron antecedentes u ocurrencia de explotación minera. Por otro lado, la autoridad realizó las respectivas actividades de control y vigilancia a predios con actividades de almacenamiento y distribución de combustibles (Estaciones de Servicio y Plantas de Transferencia), </w:t>
      </w:r>
      <w:proofErr w:type="gramStart"/>
      <w:r>
        <w:rPr>
          <w:rFonts w:ascii="Times New Roman" w:hAnsi="Times New Roman"/>
          <w:szCs w:val="24"/>
          <w:lang w:eastAsia="es-CO"/>
        </w:rPr>
        <w:t>que</w:t>
      </w:r>
      <w:proofErr w:type="gramEnd"/>
      <w:r>
        <w:rPr>
          <w:rFonts w:ascii="Times New Roman" w:hAnsi="Times New Roman"/>
          <w:szCs w:val="24"/>
          <w:lang w:eastAsia="es-CO"/>
        </w:rPr>
        <w:t xml:space="preserve"> por sus volúmenes de manejo y el tipo de almacenamiento subterráneo, se constituyen en predios con potenciales afectaciones al suelo y al agua subterránea.</w:t>
      </w:r>
    </w:p>
    <w:p w14:paraId="153AAF5D" w14:textId="77777777" w:rsidR="009E632D" w:rsidRDefault="009E632D" w:rsidP="009E632D">
      <w:pPr>
        <w:rPr>
          <w:rFonts w:ascii="Times New Roman" w:hAnsi="Times New Roman"/>
          <w:szCs w:val="24"/>
          <w:lang w:eastAsia="es-CO"/>
        </w:rPr>
      </w:pPr>
    </w:p>
    <w:p w14:paraId="076637EA" w14:textId="77777777" w:rsidR="009E632D" w:rsidRDefault="009E632D" w:rsidP="009E632D">
      <w:pPr>
        <w:rPr>
          <w:rFonts w:ascii="Times New Roman" w:hAnsi="Times New Roman"/>
          <w:szCs w:val="24"/>
          <w:lang w:eastAsia="es-CO"/>
        </w:rPr>
      </w:pPr>
      <w:r>
        <w:rPr>
          <w:rFonts w:ascii="Times New Roman" w:hAnsi="Times New Roman"/>
          <w:szCs w:val="24"/>
          <w:lang w:eastAsia="es-CO"/>
        </w:rPr>
        <w:t>Debido a que las actividades descritas generan un riesgo latente de afectación a suelo y agua subterránea del acuífero somero</w:t>
      </w:r>
      <w:r>
        <w:rPr>
          <w:rFonts w:ascii="Times New Roman" w:hAnsi="Times New Roman"/>
        </w:rPr>
        <w:t>,</w:t>
      </w:r>
      <w:r>
        <w:rPr>
          <w:rFonts w:ascii="Times New Roman" w:hAnsi="Times New Roman"/>
          <w:szCs w:val="24"/>
          <w:lang w:eastAsia="es-CO"/>
        </w:rPr>
        <w:t xml:space="preserve"> se ha requerido un control ambiental constante sobre los predios con antecedentes de eventos de fuga o derrame de sustancias, para determinar el desarrollo de estudios de sitio que permitan diagnosticar el estado del suelo y el agua subterránea del acuífero somero. </w:t>
      </w:r>
    </w:p>
    <w:p w14:paraId="777BB72A" w14:textId="77777777" w:rsidR="009E632D" w:rsidRDefault="009E632D" w:rsidP="009E632D">
      <w:pPr>
        <w:rPr>
          <w:rFonts w:ascii="Times New Roman" w:hAnsi="Times New Roman"/>
          <w:szCs w:val="24"/>
          <w:lang w:eastAsia="es-CO"/>
        </w:rPr>
      </w:pPr>
    </w:p>
    <w:p w14:paraId="602EB812"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Por otro lado, existen predios en los que se han adelantado procesos de evaluación, aprobación y seguimiento de instrumentos ambientales que involucran remediación, investigación, restauración y recuperación en las áreas afectadas. Las actividades se vienen realizando desde la Subdirección del Recurso Hídrico y del Suelo, a través de los Grupos de Suelos Contaminados, Hidrocarburos y Minería y se </w:t>
      </w:r>
      <w:proofErr w:type="gramStart"/>
      <w:r>
        <w:rPr>
          <w:rFonts w:ascii="Times New Roman" w:hAnsi="Times New Roman"/>
          <w:szCs w:val="24"/>
          <w:lang w:eastAsia="es-CO"/>
        </w:rPr>
        <w:t>describen  a</w:t>
      </w:r>
      <w:proofErr w:type="gramEnd"/>
      <w:r>
        <w:rPr>
          <w:rFonts w:ascii="Times New Roman" w:hAnsi="Times New Roman"/>
          <w:szCs w:val="24"/>
          <w:lang w:eastAsia="es-CO"/>
        </w:rPr>
        <w:t xml:space="preserve"> continuación.</w:t>
      </w:r>
    </w:p>
    <w:p w14:paraId="7B588771" w14:textId="77777777" w:rsidR="009E632D" w:rsidRDefault="009E632D" w:rsidP="009E632D">
      <w:pPr>
        <w:rPr>
          <w:rFonts w:ascii="Times New Roman" w:hAnsi="Times New Roman"/>
          <w:szCs w:val="24"/>
          <w:lang w:eastAsia="es-CO"/>
        </w:rPr>
      </w:pPr>
    </w:p>
    <w:p w14:paraId="0E50F264" w14:textId="77777777" w:rsidR="009E632D" w:rsidRDefault="009E632D" w:rsidP="009E632D">
      <w:pPr>
        <w:ind w:left="360"/>
        <w:contextualSpacing/>
        <w:jc w:val="left"/>
        <w:rPr>
          <w:rFonts w:ascii="Times New Roman" w:hAnsi="Times New Roman"/>
          <w:b/>
          <w:bCs/>
          <w:szCs w:val="24"/>
          <w:lang w:eastAsia="es-CO"/>
        </w:rPr>
      </w:pPr>
      <w:r>
        <w:rPr>
          <w:rFonts w:ascii="Times New Roman" w:hAnsi="Times New Roman"/>
          <w:b/>
          <w:bCs/>
          <w:szCs w:val="24"/>
          <w:lang w:eastAsia="es-CO"/>
        </w:rPr>
        <w:t>Grupo Suelos Contaminados:</w:t>
      </w:r>
    </w:p>
    <w:p w14:paraId="526F8F03" w14:textId="77777777" w:rsidR="009E632D" w:rsidRDefault="009E632D" w:rsidP="009E632D">
      <w:pPr>
        <w:pStyle w:val="Prrafodelista"/>
        <w:ind w:left="720"/>
        <w:contextualSpacing/>
        <w:jc w:val="left"/>
        <w:rPr>
          <w:rFonts w:ascii="Times New Roman" w:hAnsi="Times New Roman"/>
          <w:b/>
          <w:bCs/>
          <w:szCs w:val="24"/>
          <w:lang w:eastAsia="es-CO"/>
        </w:rPr>
      </w:pPr>
    </w:p>
    <w:p w14:paraId="1CCE5822" w14:textId="77777777" w:rsidR="009E632D" w:rsidRDefault="009E632D" w:rsidP="009E632D">
      <w:pPr>
        <w:ind w:left="360"/>
        <w:rPr>
          <w:rFonts w:ascii="Times New Roman" w:hAnsi="Times New Roman"/>
        </w:rPr>
      </w:pPr>
      <w:r>
        <w:rPr>
          <w:rFonts w:ascii="Times New Roman" w:hAnsi="Times New Roman"/>
        </w:rPr>
        <w:t xml:space="preserve">Con el objetivo de identificar los sitios con sospecha de afectación a los recursos suelo y acuíferos someros el grupo de suelos contaminados realiza labores encaminadas a determinar las características del lugar y las actividades realizadas históricamente allí, para esto realiza acciones tales como visita para observar estado actual y revisión de antecedentes en expedientes de la entidad, a partir de lo cual determina áreas de interés (zonas en las cuales se hayan presentados derrames, almacenamiento inadecuado de residuos peligrosos, campos de infiltración, etc.), sustancias de interés asociadas y tipo de actividad a realizar. </w:t>
      </w:r>
    </w:p>
    <w:p w14:paraId="3317D55D" w14:textId="77777777" w:rsidR="009E632D" w:rsidRDefault="009E632D" w:rsidP="009E632D">
      <w:pPr>
        <w:ind w:left="360"/>
        <w:rPr>
          <w:rFonts w:ascii="Times New Roman" w:hAnsi="Times New Roman"/>
        </w:rPr>
      </w:pPr>
    </w:p>
    <w:p w14:paraId="34610F6D" w14:textId="77777777" w:rsidR="009E632D" w:rsidRDefault="009E632D" w:rsidP="009E632D">
      <w:pPr>
        <w:ind w:left="360"/>
        <w:rPr>
          <w:rFonts w:ascii="Times New Roman" w:hAnsi="Times New Roman"/>
        </w:rPr>
      </w:pPr>
      <w:r>
        <w:rPr>
          <w:rFonts w:ascii="Times New Roman" w:hAnsi="Times New Roman"/>
        </w:rPr>
        <w:t xml:space="preserve">Como consecuencia de las actividades de identificación de sitios potencialmente contaminados realizadas por la </w:t>
      </w:r>
      <w:proofErr w:type="gramStart"/>
      <w:r>
        <w:rPr>
          <w:rFonts w:ascii="Times New Roman" w:hAnsi="Times New Roman"/>
        </w:rPr>
        <w:t>Secretaria</w:t>
      </w:r>
      <w:proofErr w:type="gramEnd"/>
      <w:r>
        <w:rPr>
          <w:rFonts w:ascii="Times New Roman" w:hAnsi="Times New Roman"/>
        </w:rPr>
        <w:t xml:space="preserve"> Distrital de Ambiente se derivan las siguientes actividades a requerir al propietario o responsable del predio:</w:t>
      </w:r>
    </w:p>
    <w:p w14:paraId="0A999CBF" w14:textId="77777777" w:rsidR="009E632D" w:rsidRDefault="009E632D" w:rsidP="009E632D">
      <w:pPr>
        <w:ind w:left="360"/>
        <w:rPr>
          <w:rFonts w:ascii="Times New Roman" w:hAnsi="Times New Roman"/>
        </w:rPr>
      </w:pPr>
    </w:p>
    <w:p w14:paraId="421EFE30"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Investigación:</w:t>
      </w:r>
      <w:r>
        <w:rPr>
          <w:rFonts w:ascii="Times New Roman" w:hAnsi="Times New Roman"/>
        </w:rPr>
        <w:t xml:space="preserve"> Consiste en la caracterización y diagnóstico del sitio, considerando las sustancias y áreas de interés establecidas por la autoridad ambiental en el análisis previamente ejecutado, así como definiendo características hidrogeológicas que influyen </w:t>
      </w:r>
      <w:r>
        <w:rPr>
          <w:rFonts w:ascii="Times New Roman" w:hAnsi="Times New Roman"/>
        </w:rPr>
        <w:lastRenderedPageBreak/>
        <w:t xml:space="preserve">en la movilidad de contaminantes tanto en suelo como en agua subterránea. Lo cual involucra actividades de perforaciones exploratorias, descripción litológica, instalación de pozos de monitoreo, toma de muestras (suelo y agua subterránea), pruebas para determinación de conductividad hidráulica del suelo, análisis de laboratorio, entre otras. </w:t>
      </w:r>
    </w:p>
    <w:p w14:paraId="3A0A571F" w14:textId="77777777" w:rsidR="009E632D" w:rsidRDefault="009E632D" w:rsidP="009E632D">
      <w:pPr>
        <w:pStyle w:val="Prrafodelista"/>
        <w:ind w:left="644"/>
        <w:rPr>
          <w:rFonts w:ascii="Times New Roman" w:hAnsi="Times New Roman"/>
        </w:rPr>
      </w:pPr>
    </w:p>
    <w:p w14:paraId="39BD1861" w14:textId="77777777" w:rsidR="009E632D" w:rsidRDefault="009E632D" w:rsidP="009E632D">
      <w:pPr>
        <w:pStyle w:val="Prrafodelista"/>
        <w:ind w:left="644"/>
        <w:rPr>
          <w:rFonts w:ascii="Times New Roman" w:hAnsi="Times New Roman"/>
        </w:rPr>
      </w:pPr>
      <w:r>
        <w:rPr>
          <w:rFonts w:ascii="Times New Roman" w:hAnsi="Times New Roman"/>
        </w:rPr>
        <w:t>Con los resultados obtenidos en la investigación se decide si es necesario desarrollar tareas de remediación, aplicando la metodología de Acciones Correctivas Basadas en un Análisis de Riesgo (RBCA) para el ambiente y la salud.</w:t>
      </w:r>
    </w:p>
    <w:p w14:paraId="5AA5B9CD"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Intervención directa y monitoreo</w:t>
      </w:r>
      <w:r>
        <w:rPr>
          <w:rFonts w:ascii="Times New Roman" w:hAnsi="Times New Roman"/>
        </w:rPr>
        <w:t>: Se realiza la excavación selectiva de suelo retirando aquel que se encuentre impactado y la posterior toma de muestras de suelo/agua subterránea en el área, para verificar concentraciones de sustancias a un nivel seguro. Lo anterior se solicita ante una afectación evidente y representativa en el suelo tales como derrames o impregnaciones de sustancias de origen antropogénico sobre suelo sin ningún tipo de protección y que permita la infiltración de contaminantes.</w:t>
      </w:r>
    </w:p>
    <w:p w14:paraId="0103BA71"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Desmantelamiento:</w:t>
      </w:r>
      <w:r>
        <w:rPr>
          <w:rFonts w:ascii="Times New Roman" w:hAnsi="Times New Roman"/>
        </w:rPr>
        <w:t xml:space="preserve"> Se determinan lineamientos para un adecuado desmantelamiento en el marco del cese o traslado de actividades industriales o de servicios de un sitio, con el objetivo de que en este proceso no se generen impactos negativos sobre los recursos suelo y agua subterránea, y se realiza seguimiento a las actividades aprobadas por la entidad, o en su defecto se solicitan los soportes que garanticen un adecuado desmantelamiento.</w:t>
      </w:r>
    </w:p>
    <w:p w14:paraId="0714343B" w14:textId="77777777" w:rsidR="009E632D" w:rsidRDefault="009E632D" w:rsidP="009E632D">
      <w:pPr>
        <w:ind w:left="360"/>
        <w:rPr>
          <w:rFonts w:ascii="Times New Roman" w:hAnsi="Times New Roman"/>
        </w:rPr>
      </w:pPr>
    </w:p>
    <w:p w14:paraId="2D24713C" w14:textId="77777777" w:rsidR="009E632D" w:rsidRDefault="009E632D" w:rsidP="009E632D">
      <w:pPr>
        <w:ind w:left="360"/>
        <w:rPr>
          <w:rFonts w:ascii="Times New Roman" w:hAnsi="Times New Roman"/>
        </w:rPr>
      </w:pPr>
      <w:r>
        <w:rPr>
          <w:rFonts w:ascii="Times New Roman" w:hAnsi="Times New Roman"/>
        </w:rPr>
        <w:t>Es de resaltar que una vez se ejecutan las actividades de investigación y los resultados muestran que se debe implementar una alternativa de remediación, esta debe ser aprobada y acogida mediante acto administrativo estableciendo procedimientos, metas de remediación y plazos. En este contexto en el periodo comprendido entre el año 2016 y lo corrido del 2020, se ha realizado la identificación de 215 predios como potencialmente contaminados, cuyas actividades se describen en la Tabla 1.</w:t>
      </w:r>
    </w:p>
    <w:p w14:paraId="6A18D9CE" w14:textId="77777777" w:rsidR="009E632D" w:rsidRDefault="009E632D" w:rsidP="009E632D">
      <w:pPr>
        <w:ind w:left="360"/>
        <w:rPr>
          <w:rFonts w:ascii="Times New Roman" w:hAnsi="Times New Roman"/>
        </w:rPr>
      </w:pPr>
    </w:p>
    <w:p w14:paraId="5668B593"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1. Estado actual de los predios objeto de estudio en el Grupo de Suelos Contaminados</w:t>
      </w:r>
    </w:p>
    <w:tbl>
      <w:tblPr>
        <w:tblW w:w="4957" w:type="dxa"/>
        <w:jc w:val="center"/>
        <w:tblCellMar>
          <w:left w:w="70" w:type="dxa"/>
          <w:right w:w="70" w:type="dxa"/>
        </w:tblCellMar>
        <w:tblLook w:val="04A0" w:firstRow="1" w:lastRow="0" w:firstColumn="1" w:lastColumn="0" w:noHBand="0" w:noVBand="1"/>
      </w:tblPr>
      <w:tblGrid>
        <w:gridCol w:w="3256"/>
        <w:gridCol w:w="1701"/>
      </w:tblGrid>
      <w:tr w:rsidR="009E632D" w14:paraId="7B97C701" w14:textId="77777777" w:rsidTr="00527722">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0AA29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Actividad</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50D558C"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No. Predios</w:t>
            </w:r>
          </w:p>
        </w:tc>
      </w:tr>
      <w:tr w:rsidR="009E632D" w14:paraId="667FDECE" w14:textId="77777777" w:rsidTr="009E632D">
        <w:trPr>
          <w:trHeight w:val="302"/>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8BA67D4"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w:t>
            </w:r>
          </w:p>
        </w:tc>
        <w:tc>
          <w:tcPr>
            <w:tcW w:w="1701" w:type="dxa"/>
            <w:tcBorders>
              <w:top w:val="nil"/>
              <w:left w:val="nil"/>
              <w:bottom w:val="single" w:sz="4" w:space="0" w:color="auto"/>
              <w:right w:val="single" w:sz="4" w:space="0" w:color="auto"/>
            </w:tcBorders>
            <w:shd w:val="clear" w:color="auto" w:fill="FFFFFF"/>
            <w:noWrap/>
            <w:vAlign w:val="center"/>
            <w:hideMark/>
          </w:tcPr>
          <w:p w14:paraId="722DEA3B"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68</w:t>
            </w:r>
          </w:p>
        </w:tc>
      </w:tr>
      <w:tr w:rsidR="009E632D" w14:paraId="219E71C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2936AF6"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y desmantelamiento </w:t>
            </w:r>
          </w:p>
        </w:tc>
        <w:tc>
          <w:tcPr>
            <w:tcW w:w="1701" w:type="dxa"/>
            <w:tcBorders>
              <w:top w:val="nil"/>
              <w:left w:val="nil"/>
              <w:bottom w:val="single" w:sz="4" w:space="0" w:color="auto"/>
              <w:right w:val="single" w:sz="4" w:space="0" w:color="auto"/>
            </w:tcBorders>
            <w:shd w:val="clear" w:color="auto" w:fill="FFFFFF"/>
            <w:noWrap/>
            <w:vAlign w:val="center"/>
            <w:hideMark/>
          </w:tcPr>
          <w:p w14:paraId="7C7B4F4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36</w:t>
            </w:r>
          </w:p>
        </w:tc>
      </w:tr>
      <w:tr w:rsidR="009E632D" w14:paraId="1FB0EDB7" w14:textId="77777777" w:rsidTr="009E632D">
        <w:trPr>
          <w:trHeight w:val="414"/>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67F9E4E"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Intervención directa, monitoreo y desmantelamiento</w:t>
            </w:r>
          </w:p>
        </w:tc>
        <w:tc>
          <w:tcPr>
            <w:tcW w:w="1701" w:type="dxa"/>
            <w:tcBorders>
              <w:top w:val="nil"/>
              <w:left w:val="nil"/>
              <w:bottom w:val="single" w:sz="4" w:space="0" w:color="auto"/>
              <w:right w:val="single" w:sz="4" w:space="0" w:color="auto"/>
            </w:tcBorders>
            <w:shd w:val="clear" w:color="auto" w:fill="FFFFFF"/>
            <w:noWrap/>
            <w:vAlign w:val="center"/>
            <w:hideMark/>
          </w:tcPr>
          <w:p w14:paraId="78E90D52"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14</w:t>
            </w:r>
          </w:p>
        </w:tc>
      </w:tr>
      <w:tr w:rsidR="009E632D" w14:paraId="63F02ADD" w14:textId="77777777" w:rsidTr="009E632D">
        <w:trPr>
          <w:trHeight w:val="245"/>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619C40B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Desmantelamiento de instalaciones</w:t>
            </w:r>
          </w:p>
        </w:tc>
        <w:tc>
          <w:tcPr>
            <w:tcW w:w="1701" w:type="dxa"/>
            <w:tcBorders>
              <w:top w:val="nil"/>
              <w:left w:val="nil"/>
              <w:bottom w:val="single" w:sz="4" w:space="0" w:color="auto"/>
              <w:right w:val="single" w:sz="4" w:space="0" w:color="auto"/>
            </w:tcBorders>
            <w:shd w:val="clear" w:color="auto" w:fill="FFFFFF"/>
            <w:noWrap/>
            <w:vAlign w:val="center"/>
            <w:hideMark/>
          </w:tcPr>
          <w:p w14:paraId="426CD33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87</w:t>
            </w:r>
          </w:p>
        </w:tc>
      </w:tr>
      <w:tr w:rsidR="009E632D" w14:paraId="49E1CA1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FA9557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Remediación</w:t>
            </w:r>
          </w:p>
        </w:tc>
        <w:tc>
          <w:tcPr>
            <w:tcW w:w="1701" w:type="dxa"/>
            <w:tcBorders>
              <w:top w:val="nil"/>
              <w:left w:val="nil"/>
              <w:bottom w:val="single" w:sz="4" w:space="0" w:color="auto"/>
              <w:right w:val="single" w:sz="4" w:space="0" w:color="auto"/>
            </w:tcBorders>
            <w:shd w:val="clear" w:color="auto" w:fill="FFFFFF"/>
            <w:noWrap/>
            <w:vAlign w:val="center"/>
            <w:hideMark/>
          </w:tcPr>
          <w:p w14:paraId="6E40E017"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10</w:t>
            </w:r>
          </w:p>
        </w:tc>
      </w:tr>
      <w:tr w:rsidR="009E632D" w14:paraId="5BD07D69" w14:textId="77777777" w:rsidTr="009E632D">
        <w:trPr>
          <w:trHeight w:val="300"/>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7612B862"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w:t>
            </w:r>
          </w:p>
        </w:tc>
        <w:tc>
          <w:tcPr>
            <w:tcW w:w="1701" w:type="dxa"/>
            <w:tcBorders>
              <w:top w:val="nil"/>
              <w:left w:val="nil"/>
              <w:bottom w:val="single" w:sz="4" w:space="0" w:color="auto"/>
              <w:right w:val="single" w:sz="4" w:space="0" w:color="auto"/>
            </w:tcBorders>
            <w:shd w:val="clear" w:color="auto" w:fill="FFFFFF"/>
            <w:noWrap/>
            <w:vAlign w:val="center"/>
            <w:hideMark/>
          </w:tcPr>
          <w:p w14:paraId="4738743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215</w:t>
            </w:r>
          </w:p>
        </w:tc>
      </w:tr>
    </w:tbl>
    <w:p w14:paraId="68680DE4"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7AE9E17B" w14:textId="77777777" w:rsidR="009E632D" w:rsidRDefault="009E632D" w:rsidP="009E632D">
      <w:pPr>
        <w:jc w:val="left"/>
        <w:rPr>
          <w:rFonts w:ascii="Times New Roman" w:hAnsi="Times New Roman"/>
          <w:b/>
          <w:bCs/>
          <w:szCs w:val="24"/>
          <w:lang w:eastAsia="es-CO"/>
        </w:rPr>
      </w:pPr>
      <w:r>
        <w:rPr>
          <w:rFonts w:ascii="Times New Roman" w:hAnsi="Times New Roman"/>
          <w:b/>
          <w:bCs/>
          <w:szCs w:val="24"/>
          <w:lang w:eastAsia="es-CO"/>
        </w:rPr>
        <w:tab/>
      </w:r>
    </w:p>
    <w:p w14:paraId="797C1CF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 xml:space="preserve">Vale la pena mencionar que para el desarrollo de las actividades relacionadas con suelos contaminados, hasta la fecha el ordenamiento jurídico colombiano no posee un marco regulatorio específico en lo atinente al recurso suelo y agua subterránea del acuífero somero, y en particular una norma en la cual 1)  se indiquen los niveles de referencia de sustancias potencialmente contaminantes que puedan llegar a incidir en la calidad de los mencionados recursos y en los receptores sensibles, en caso de que aquellos sean superados 2) que establezca los lineamientos ambientales mínimos que se deben tener en cuenta para una adecuada gestión de sitios potencialmente contaminados y contaminados y 3) que indique las </w:t>
      </w:r>
      <w:r>
        <w:rPr>
          <w:rFonts w:ascii="Times New Roman" w:hAnsi="Times New Roman"/>
          <w:szCs w:val="24"/>
          <w:lang w:eastAsia="es-CO"/>
        </w:rPr>
        <w:lastRenderedPageBreak/>
        <w:t>condiciones básicas a observar para efectos de llevar a cabo de manera satisfactoria el desmantelamiento de instalaciones.</w:t>
      </w:r>
    </w:p>
    <w:p w14:paraId="29706EE0" w14:textId="77777777" w:rsidR="009E632D" w:rsidRDefault="009E632D" w:rsidP="009E632D">
      <w:pPr>
        <w:ind w:left="426"/>
        <w:contextualSpacing/>
        <w:rPr>
          <w:rFonts w:ascii="Times New Roman" w:hAnsi="Times New Roman"/>
          <w:szCs w:val="24"/>
          <w:lang w:eastAsia="es-CO"/>
        </w:rPr>
      </w:pPr>
    </w:p>
    <w:p w14:paraId="595A48F0"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Por lo anterior el grupo de suelos contaminados ha enmarcado sus actividades en el siguiente marco normativo y político generado por medio de la interpretación de diversas normas para garantizar la gestión adecuada del recurso suelo, en ejercicio de las actividades misionales propias de la Entidad:</w:t>
      </w:r>
    </w:p>
    <w:p w14:paraId="77ACF68D" w14:textId="77777777" w:rsidR="009E632D" w:rsidRDefault="009E632D" w:rsidP="009E632D">
      <w:pPr>
        <w:ind w:left="426"/>
        <w:contextualSpacing/>
        <w:rPr>
          <w:rFonts w:ascii="Times New Roman" w:hAnsi="Times New Roman"/>
          <w:szCs w:val="24"/>
          <w:lang w:eastAsia="es-CO"/>
        </w:rPr>
      </w:pPr>
    </w:p>
    <w:p w14:paraId="417B777C"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Normas constitucionales:</w:t>
      </w:r>
    </w:p>
    <w:p w14:paraId="38A3980E" w14:textId="77777777" w:rsidR="009E632D" w:rsidRDefault="009E632D" w:rsidP="009E632D">
      <w:pPr>
        <w:rPr>
          <w:rFonts w:ascii="Times New Roman" w:hAnsi="Times New Roman"/>
          <w:szCs w:val="24"/>
          <w:lang w:eastAsia="es-CO"/>
        </w:rPr>
      </w:pPr>
    </w:p>
    <w:p w14:paraId="770D19EA" w14:textId="77777777" w:rsidR="009E632D" w:rsidRDefault="009E632D" w:rsidP="009E632D">
      <w:pPr>
        <w:widowControl w:val="0"/>
        <w:autoSpaceDE w:val="0"/>
        <w:autoSpaceDN w:val="0"/>
        <w:ind w:left="708"/>
        <w:rPr>
          <w:rFonts w:ascii="Times New Roman" w:eastAsia="Arial" w:hAnsi="Times New Roman"/>
          <w:lang w:eastAsia="es-CO" w:bidi="es-CO"/>
        </w:rPr>
      </w:pPr>
      <w:r>
        <w:rPr>
          <w:rFonts w:ascii="Times New Roman" w:eastAsia="Arial" w:hAnsi="Times New Roman"/>
          <w:lang w:eastAsia="es-CO" w:bidi="es-CO"/>
        </w:rPr>
        <w:t xml:space="preserve">Dentro de las disposiciones constitucionales más relevantes a tener en cuenta, se encuentran a título enunciativo, las siguientes: </w:t>
      </w:r>
    </w:p>
    <w:p w14:paraId="4CA81520" w14:textId="77777777" w:rsidR="009E632D" w:rsidRDefault="009E632D" w:rsidP="009E632D">
      <w:pPr>
        <w:widowControl w:val="0"/>
        <w:autoSpaceDE w:val="0"/>
        <w:autoSpaceDN w:val="0"/>
        <w:rPr>
          <w:rFonts w:ascii="Times New Roman" w:eastAsia="Arial" w:hAnsi="Times New Roman"/>
          <w:lang w:eastAsia="es-CO" w:bidi="es-CO"/>
        </w:rPr>
      </w:pPr>
    </w:p>
    <w:p w14:paraId="673F54D9"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8, según el cual, es deber del Estado y de los particulares proteger las riquezas naturales de la Nación.</w:t>
      </w:r>
    </w:p>
    <w:p w14:paraId="03A6FC13" w14:textId="77777777" w:rsidR="009E632D" w:rsidRDefault="009E632D" w:rsidP="009E632D">
      <w:pPr>
        <w:widowControl w:val="0"/>
        <w:numPr>
          <w:ilvl w:val="0"/>
          <w:numId w:val="28"/>
        </w:numPr>
        <w:shd w:val="clear" w:color="auto" w:fill="FFFFFF"/>
        <w:autoSpaceDE w:val="0"/>
        <w:autoSpaceDN w:val="0"/>
        <w:ind w:left="1134" w:hanging="357"/>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58:   indica que se garantizan la propiedad privada y los demás derechos adquiridos con arreglo a las leyes civiles, los cuales no pueden ser desconocidos ni vulnerados por leyes posteriores. Cuando de la aplicación de una ley expedida por motivos de utilidad pública o interés social, resultare en conflicto los derechos de los particulares con la necesidad por ella reconocida, el interés privado deberá ceder al interés público o social. Adicionalmente, prescribe que la propiedad es una función social que implica obligaciones y que, como tal, le es inherente una función ecológica.</w:t>
      </w:r>
    </w:p>
    <w:p w14:paraId="38212651" w14:textId="77777777" w:rsidR="009E632D" w:rsidRDefault="009E632D" w:rsidP="009E632D">
      <w:pPr>
        <w:widowControl w:val="0"/>
        <w:numPr>
          <w:ilvl w:val="0"/>
          <w:numId w:val="28"/>
        </w:numPr>
        <w:shd w:val="clear" w:color="auto" w:fill="FFFFFF"/>
        <w:autoSpaceDE w:val="0"/>
        <w:autoSpaceDN w:val="0"/>
        <w:ind w:left="1134" w:hanging="283"/>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79: prescribe que todas las personas tienen derecho a gozar de un ambiente sano indicando adicionalmente que es deber del estado proteger la diversidad e integridad del ambiente, conservar las áreas de especial importancia ecológica y fomentar la educación para el logro de estos fines.  </w:t>
      </w:r>
    </w:p>
    <w:p w14:paraId="6AC7BADA"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80: estipula que el Estado planificará el manejo y aprovechamiento de los recursos naturales, para garantizar su desarrollo sostenible, su conservación, restauración o sustitución; y además que, deberá prevenir y controlar los factores de deterioro ambiental, imponer las sanciones legales y exigir la reparación de los daños causados. </w:t>
      </w:r>
    </w:p>
    <w:p w14:paraId="0B583DB3"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Numeral 8 del artículo 95: indica que toda persona está obligada a cumplir la Constitución y las leyes y en especial, es un deber de la persona y del ciudadano proteger los recursos culturales y naturales del país y velar por la conservación de un ambiente sano.</w:t>
      </w:r>
    </w:p>
    <w:p w14:paraId="5343C349" w14:textId="77777777" w:rsidR="009E632D" w:rsidRDefault="009E632D" w:rsidP="009E632D">
      <w:pPr>
        <w:ind w:left="360"/>
        <w:contextualSpacing/>
        <w:rPr>
          <w:rFonts w:ascii="Times New Roman" w:hAnsi="Times New Roman"/>
          <w:szCs w:val="24"/>
          <w:lang w:eastAsia="es-CO"/>
        </w:rPr>
      </w:pPr>
    </w:p>
    <w:p w14:paraId="69A79764"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legales y reglamentarias de carácter nacional referentes a la protección del recurso suelo y agua:</w:t>
      </w:r>
    </w:p>
    <w:p w14:paraId="5D67C94B" w14:textId="77777777" w:rsidR="009E632D" w:rsidRDefault="009E632D" w:rsidP="009E632D">
      <w:pPr>
        <w:rPr>
          <w:rFonts w:ascii="Times New Roman" w:hAnsi="Times New Roman"/>
          <w:szCs w:val="24"/>
          <w:lang w:eastAsia="es-CO"/>
        </w:rPr>
      </w:pPr>
    </w:p>
    <w:p w14:paraId="71A226A6"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Ley 23 de 1973:</w:t>
      </w:r>
    </w:p>
    <w:p w14:paraId="74B1976D" w14:textId="77777777" w:rsidR="009E632D" w:rsidRDefault="009E632D" w:rsidP="009E632D">
      <w:pPr>
        <w:ind w:left="1134"/>
        <w:contextualSpacing/>
        <w:rPr>
          <w:rFonts w:ascii="Times New Roman" w:hAnsi="Times New Roman"/>
          <w:u w:val="single"/>
        </w:rPr>
      </w:pPr>
    </w:p>
    <w:p w14:paraId="5C0B2ACE"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r>
        <w:rPr>
          <w:rFonts w:ascii="Times New Roman" w:hAnsi="Times New Roman"/>
          <w:color w:val="000000"/>
        </w:rPr>
        <w:t xml:space="preserve">El artículo 2 de la Ley 23 de 1973, el cual indica que, </w:t>
      </w:r>
      <w:bookmarkStart w:id="2" w:name="_Hlk10192457"/>
      <w:r>
        <w:rPr>
          <w:rFonts w:ascii="Times New Roman" w:hAnsi="Times New Roman"/>
          <w:color w:val="000000"/>
        </w:rPr>
        <w:t>el ambiente es un patrimonio común; por lo tanto, su mejoramiento y conservación son actividades de utilidad pública, en las que deberán participar el Estado y los particulares.</w:t>
      </w:r>
      <w:bookmarkEnd w:id="2"/>
    </w:p>
    <w:p w14:paraId="33760491"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bookmarkStart w:id="3" w:name="_gjdgxs"/>
      <w:bookmarkEnd w:id="3"/>
      <w:r>
        <w:rPr>
          <w:rFonts w:ascii="Times New Roman" w:hAnsi="Times New Roman"/>
          <w:color w:val="000000"/>
        </w:rPr>
        <w:t xml:space="preserve">Adicionalmente, el artículo </w:t>
      </w:r>
      <w:bookmarkStart w:id="4" w:name="_Hlk10192510"/>
      <w:r>
        <w:rPr>
          <w:rFonts w:ascii="Times New Roman" w:hAnsi="Times New Roman"/>
          <w:color w:val="000000"/>
        </w:rPr>
        <w:t xml:space="preserve">4 de la precitada Ley, prescribe la noción de contaminación, en el sentido de indicar que esta es la alteración del medio ambiente por sustancias o formas de energía puestas allí por la actividad humana o de la </w:t>
      </w:r>
      <w:r>
        <w:rPr>
          <w:rFonts w:ascii="Times New Roman" w:hAnsi="Times New Roman"/>
          <w:color w:val="000000"/>
        </w:rPr>
        <w:lastRenderedPageBreak/>
        <w:t xml:space="preserve">naturaleza, en cantidades, concentraciones o niveles capaces de interferir con el bienestar y la salud de las personas, atentar contra la flora y la fauna, degradar la calidad del ambiente o afectar los recursos de la Nación o de particulares. </w:t>
      </w:r>
      <w:bookmarkEnd w:id="4"/>
    </w:p>
    <w:p w14:paraId="5199FF73" w14:textId="77777777" w:rsidR="009E632D" w:rsidRDefault="009E632D" w:rsidP="009E632D">
      <w:pPr>
        <w:widowControl w:val="0"/>
        <w:numPr>
          <w:ilvl w:val="0"/>
          <w:numId w:val="28"/>
        </w:numPr>
        <w:autoSpaceDE w:val="0"/>
        <w:autoSpaceDN w:val="0"/>
        <w:ind w:left="1134"/>
        <w:contextualSpacing/>
        <w:rPr>
          <w:rFonts w:ascii="Times New Roman" w:hAnsi="Times New Roman"/>
          <w:lang w:val="es-MX"/>
        </w:rPr>
      </w:pPr>
      <w:r>
        <w:rPr>
          <w:rFonts w:ascii="Times New Roman" w:hAnsi="Times New Roman"/>
          <w:lang w:val="es-MX"/>
        </w:rPr>
        <w:t xml:space="preserve">Por su parte, el artículo 5 establece la definición de </w:t>
      </w:r>
      <w:r>
        <w:rPr>
          <w:rFonts w:ascii="Times New Roman" w:hAnsi="Times New Roman"/>
          <w:i/>
          <w:lang w:val="es-MX"/>
        </w:rPr>
        <w:t>“Contaminante”</w:t>
      </w:r>
      <w:r>
        <w:rPr>
          <w:rFonts w:ascii="Times New Roman" w:hAnsi="Times New Roman"/>
        </w:rPr>
        <w:t xml:space="preserve"> en los siguientes términos: “</w:t>
      </w:r>
      <w:r>
        <w:rPr>
          <w:rFonts w:ascii="Times New Roman" w:hAnsi="Times New Roman"/>
          <w:i/>
          <w:lang w:val="es-MX"/>
        </w:rPr>
        <w:t>Se entiende por contaminante todo elemento, combinación de elementos, o forma de energía que actual o potencialmente pueda producir alguna o algunas de las alteraciones ambientales descritas en el artículo 4 de la presente Ley”.</w:t>
      </w:r>
    </w:p>
    <w:p w14:paraId="1BE9B147" w14:textId="77777777" w:rsidR="009E632D" w:rsidRDefault="009E632D" w:rsidP="009E632D">
      <w:pPr>
        <w:ind w:left="1134" w:firstLine="284"/>
        <w:contextualSpacing/>
        <w:rPr>
          <w:rFonts w:ascii="Times New Roman" w:hAnsi="Times New Roman"/>
          <w:lang w:val="es-MX"/>
        </w:rPr>
      </w:pPr>
    </w:p>
    <w:p w14:paraId="6F42A3BE"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lang w:val="es-MX"/>
        </w:rPr>
      </w:pPr>
      <w:r>
        <w:rPr>
          <w:rFonts w:ascii="Times New Roman" w:hAnsi="Times New Roman"/>
          <w:u w:val="single"/>
          <w:lang w:val="es-MX"/>
        </w:rPr>
        <w:t>Decreto-Ley 2811 de 1974 - Código Nacional de Recursos Naturales Renovables y de Protección al Medio Ambiente</w:t>
      </w:r>
    </w:p>
    <w:p w14:paraId="6A909DA4" w14:textId="77777777" w:rsidR="009E632D" w:rsidRDefault="009E632D" w:rsidP="009E632D">
      <w:pPr>
        <w:ind w:left="1134"/>
        <w:contextualSpacing/>
        <w:rPr>
          <w:rFonts w:ascii="Times New Roman" w:hAnsi="Times New Roman"/>
          <w:u w:val="single"/>
          <w:lang w:val="es-MX"/>
        </w:rPr>
      </w:pPr>
    </w:p>
    <w:p w14:paraId="48FC92E4" w14:textId="77777777" w:rsidR="009E632D" w:rsidRDefault="009E632D" w:rsidP="009E632D">
      <w:pPr>
        <w:ind w:left="1134"/>
        <w:contextualSpacing/>
        <w:rPr>
          <w:rFonts w:ascii="Times New Roman" w:hAnsi="Times New Roman"/>
          <w:lang w:val="es-MX"/>
        </w:rPr>
      </w:pPr>
      <w:r>
        <w:rPr>
          <w:rFonts w:ascii="Times New Roman" w:hAnsi="Times New Roman"/>
          <w:lang w:val="es-MX"/>
        </w:rPr>
        <w:t>En consonancia con lo prescrito por la Ley 23 de 1973, el Código Nacional de Recursos Naturales Renovables y de Protección al Medio Ambiente, establece dentro de su articulado las siguientes disposiciones:</w:t>
      </w:r>
    </w:p>
    <w:p w14:paraId="1C9C0767" w14:textId="77777777" w:rsidR="009E632D" w:rsidRDefault="009E632D" w:rsidP="009E632D">
      <w:pPr>
        <w:ind w:left="1134"/>
        <w:contextualSpacing/>
        <w:rPr>
          <w:rFonts w:ascii="Times New Roman" w:hAnsi="Times New Roman"/>
          <w:lang w:val="es-MX"/>
        </w:rPr>
      </w:pPr>
    </w:p>
    <w:p w14:paraId="28D4B457" w14:textId="77777777" w:rsidR="009E632D" w:rsidRDefault="009E632D" w:rsidP="009E632D">
      <w:pPr>
        <w:widowControl w:val="0"/>
        <w:numPr>
          <w:ilvl w:val="0"/>
          <w:numId w:val="30"/>
        </w:numPr>
        <w:autoSpaceDE w:val="0"/>
        <w:autoSpaceDN w:val="0"/>
        <w:ind w:left="1134"/>
        <w:contextualSpacing/>
        <w:rPr>
          <w:rFonts w:ascii="Times New Roman" w:hAnsi="Times New Roman"/>
          <w:i/>
          <w:lang w:val="es-MX"/>
        </w:rPr>
      </w:pPr>
      <w:r>
        <w:rPr>
          <w:rFonts w:ascii="Times New Roman" w:hAnsi="Times New Roman"/>
          <w:lang w:val="es-MX"/>
        </w:rPr>
        <w:t>Artículo 8:</w:t>
      </w:r>
      <w:r>
        <w:rPr>
          <w:rFonts w:ascii="Times New Roman" w:hAnsi="Times New Roman"/>
          <w:i/>
          <w:lang w:val="es-MX"/>
        </w:rPr>
        <w:t xml:space="preserve"> “</w:t>
      </w:r>
      <w:bookmarkStart w:id="5" w:name="_Hlk10193417"/>
      <w:r>
        <w:rPr>
          <w:rFonts w:ascii="Times New Roman" w:hAnsi="Times New Roman"/>
          <w:i/>
          <w:lang w:val="es-MX"/>
        </w:rPr>
        <w:t xml:space="preserve">Se consideran factores que deterioran el ambiente, entre otros: </w:t>
      </w:r>
    </w:p>
    <w:p w14:paraId="2BB5B946" w14:textId="77777777" w:rsidR="009E632D" w:rsidRDefault="009E632D" w:rsidP="009E632D">
      <w:pPr>
        <w:ind w:left="1134" w:hanging="153"/>
        <w:contextualSpacing/>
        <w:rPr>
          <w:rFonts w:ascii="Times New Roman" w:hAnsi="Times New Roman"/>
          <w:i/>
          <w:lang w:val="es-MX"/>
        </w:rPr>
      </w:pPr>
      <w:r>
        <w:rPr>
          <w:rFonts w:ascii="Times New Roman" w:hAnsi="Times New Roman"/>
          <w:i/>
          <w:lang w:val="es-MX"/>
        </w:rPr>
        <w:t xml:space="preserve"> a). La contaminación del aire, de las aguas, del suelo y de los demás recursos naturales renovables.”</w:t>
      </w:r>
    </w:p>
    <w:bookmarkEnd w:id="5"/>
    <w:p w14:paraId="75917A8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contaminación la alteración del ambiente con sustancias o formas de energía puestas en él, por actividad humana o de la naturaleza, en cantidades, concentraciones o niveles capaces de interferir el bienestar y la salud de las personas, atentar contra la flora y la fauna, degradar la calidad del ambiente de los recursos de la nación o de los particulares.</w:t>
      </w:r>
    </w:p>
    <w:p w14:paraId="6915DA64" w14:textId="77777777" w:rsidR="009E632D" w:rsidRDefault="009E632D" w:rsidP="009E632D">
      <w:pPr>
        <w:ind w:left="1134"/>
        <w:rPr>
          <w:rFonts w:ascii="Times New Roman" w:hAnsi="Times New Roman"/>
          <w:i/>
          <w:lang w:eastAsia="es-CO"/>
        </w:rPr>
      </w:pPr>
    </w:p>
    <w:p w14:paraId="0668104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contaminante cualquier elemento, combinación de elementos, o forma de energía que actual o potencialmente pueda producir alteración ambiental de las precedentemente descritas. La contaminación puede ser física, química o biológica;</w:t>
      </w:r>
    </w:p>
    <w:p w14:paraId="61449D53" w14:textId="77777777" w:rsidR="009E632D" w:rsidRDefault="009E632D" w:rsidP="009E632D">
      <w:pPr>
        <w:ind w:left="1134"/>
        <w:rPr>
          <w:rFonts w:ascii="Times New Roman" w:hAnsi="Times New Roman"/>
          <w:i/>
          <w:lang w:eastAsia="es-CO"/>
        </w:rPr>
      </w:pPr>
      <w:r>
        <w:rPr>
          <w:rFonts w:ascii="Times New Roman" w:hAnsi="Times New Roman"/>
          <w:i/>
          <w:lang w:eastAsia="es-CO"/>
        </w:rPr>
        <w:t>j). La alteración perjudicial o antiestética de paisajes naturales</w:t>
      </w:r>
    </w:p>
    <w:p w14:paraId="205461D4" w14:textId="77777777" w:rsidR="009E632D" w:rsidRDefault="009E632D" w:rsidP="009E632D">
      <w:pPr>
        <w:ind w:left="1134"/>
        <w:rPr>
          <w:rFonts w:ascii="Times New Roman" w:hAnsi="Times New Roman"/>
          <w:i/>
          <w:lang w:eastAsia="es-CO"/>
        </w:rPr>
      </w:pPr>
      <w:r>
        <w:rPr>
          <w:rFonts w:ascii="Times New Roman" w:hAnsi="Times New Roman"/>
          <w:i/>
          <w:lang w:eastAsia="es-CO"/>
        </w:rPr>
        <w:t>l). La acumulación o disposición inadecuada de residuos, basuras, desechos y desperdicios;</w:t>
      </w:r>
    </w:p>
    <w:p w14:paraId="6039D256" w14:textId="77777777" w:rsidR="009E632D" w:rsidRDefault="009E632D" w:rsidP="009E632D">
      <w:pPr>
        <w:ind w:left="1134"/>
        <w:rPr>
          <w:rFonts w:ascii="Times New Roman" w:hAnsi="Times New Roman"/>
          <w:i/>
          <w:lang w:eastAsia="es-CO"/>
        </w:rPr>
      </w:pPr>
    </w:p>
    <w:p w14:paraId="254722A8"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r>
        <w:rPr>
          <w:rFonts w:ascii="Times New Roman" w:hAnsi="Times New Roman"/>
          <w:lang w:eastAsia="es-CO"/>
        </w:rPr>
        <w:t xml:space="preserve">Artículo 35: </w:t>
      </w:r>
      <w:r>
        <w:rPr>
          <w:rFonts w:ascii="Times New Roman" w:hAnsi="Times New Roman"/>
          <w:i/>
          <w:lang w:eastAsia="es-CO"/>
        </w:rPr>
        <w:t>“Se prohíbe descargar, sin autorización, los residuos, basuras y desperdicios, y, en general, de desechos que deterioren los suelos o, causen daño o molestia a individuos o núcleos humanos.”</w:t>
      </w:r>
    </w:p>
    <w:p w14:paraId="350952B6" w14:textId="77777777" w:rsidR="009E632D" w:rsidRDefault="009E632D" w:rsidP="009E632D">
      <w:pPr>
        <w:ind w:left="1134"/>
        <w:rPr>
          <w:rFonts w:ascii="Times New Roman" w:hAnsi="Times New Roman"/>
          <w:i/>
          <w:lang w:eastAsia="es-CO"/>
        </w:rPr>
      </w:pPr>
    </w:p>
    <w:p w14:paraId="41B6D520" w14:textId="77777777" w:rsidR="009E632D" w:rsidRDefault="009E632D" w:rsidP="009E632D">
      <w:pPr>
        <w:widowControl w:val="0"/>
        <w:numPr>
          <w:ilvl w:val="0"/>
          <w:numId w:val="29"/>
        </w:numPr>
        <w:autoSpaceDE w:val="0"/>
        <w:autoSpaceDN w:val="0"/>
        <w:ind w:left="1134"/>
        <w:rPr>
          <w:rFonts w:ascii="Times New Roman" w:hAnsi="Times New Roman"/>
          <w:i/>
          <w:u w:val="single"/>
          <w:lang w:eastAsia="es-CO"/>
        </w:rPr>
      </w:pPr>
      <w:r>
        <w:rPr>
          <w:rFonts w:ascii="Times New Roman" w:hAnsi="Times New Roman"/>
          <w:u w:val="single"/>
          <w:lang w:eastAsia="es-CO"/>
        </w:rPr>
        <w:t xml:space="preserve">Ley 99 de 1993: </w:t>
      </w:r>
    </w:p>
    <w:p w14:paraId="1E1B11A1" w14:textId="77777777" w:rsidR="009E632D" w:rsidRDefault="009E632D" w:rsidP="009E632D">
      <w:pPr>
        <w:ind w:left="1134"/>
        <w:rPr>
          <w:rFonts w:ascii="Times New Roman" w:hAnsi="Times New Roman"/>
          <w:i/>
          <w:lang w:eastAsia="es-CO"/>
        </w:rPr>
      </w:pPr>
    </w:p>
    <w:p w14:paraId="0F8021A3" w14:textId="77777777" w:rsidR="009E632D" w:rsidRDefault="009E632D" w:rsidP="009E632D">
      <w:pPr>
        <w:widowControl w:val="0"/>
        <w:numPr>
          <w:ilvl w:val="0"/>
          <w:numId w:val="30"/>
        </w:numPr>
        <w:autoSpaceDE w:val="0"/>
        <w:autoSpaceDN w:val="0"/>
        <w:ind w:left="1134"/>
        <w:rPr>
          <w:rFonts w:ascii="Times New Roman" w:hAnsi="Times New Roman"/>
          <w:lang w:eastAsia="es-CO"/>
        </w:rPr>
      </w:pPr>
      <w:r>
        <w:rPr>
          <w:rFonts w:ascii="Times New Roman" w:hAnsi="Times New Roman"/>
        </w:rPr>
        <w:t xml:space="preserve">El artículo 61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w:t>
      </w:r>
      <w:r>
        <w:rPr>
          <w:rFonts w:ascii="Times New Roman" w:hAnsi="Times New Roman"/>
        </w:rPr>
        <w:lastRenderedPageBreak/>
        <w:t>nacional expida el Ministerio de Ambiente.</w:t>
      </w:r>
    </w:p>
    <w:p w14:paraId="41971D04" w14:textId="77777777" w:rsidR="009E632D" w:rsidRDefault="009E632D" w:rsidP="009E632D">
      <w:pPr>
        <w:widowControl w:val="0"/>
        <w:numPr>
          <w:ilvl w:val="0"/>
          <w:numId w:val="30"/>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El </w:t>
      </w:r>
      <w:bookmarkStart w:id="6" w:name="_Hlk10194337"/>
      <w:r>
        <w:rPr>
          <w:rFonts w:ascii="Times New Roman" w:eastAsia="Arial" w:hAnsi="Times New Roman"/>
          <w:color w:val="000000"/>
          <w:lang w:eastAsia="es-CO" w:bidi="es-CO"/>
        </w:rPr>
        <w:t>artículo 66 de la Ley 99 de 1993, establece que los municipios, distritos o áreas metropolitanas cuya población urbana fuere igual o superior a un millón de habitantes, ejercerán dentro del perímetro urbano las mismas funciones atribuidas a las Corporaciones Autónomas Regionales, en lo que fuere aplicable al medio ambiente urbano, en consecuencia, son responsables de efectuar el control de vertimientos y emisiones contaminantes, disposición de desechos sólidos y de residuos tóxicos y peligrosos.</w:t>
      </w:r>
      <w:bookmarkEnd w:id="6"/>
    </w:p>
    <w:p w14:paraId="5D410223" w14:textId="77777777" w:rsidR="009E632D" w:rsidRDefault="009E632D" w:rsidP="009E632D">
      <w:pPr>
        <w:widowControl w:val="0"/>
        <w:autoSpaceDE w:val="0"/>
        <w:autoSpaceDN w:val="0"/>
        <w:ind w:left="1134"/>
        <w:contextualSpacing/>
        <w:rPr>
          <w:rFonts w:ascii="Times New Roman" w:eastAsia="Arial" w:hAnsi="Times New Roman"/>
          <w:color w:val="000000"/>
          <w:lang w:eastAsia="es-CO" w:bidi="es-CO"/>
        </w:rPr>
      </w:pPr>
    </w:p>
    <w:p w14:paraId="21FBD0D5"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 xml:space="preserve">Decreto Nacional 1076 de 2015: </w:t>
      </w:r>
    </w:p>
    <w:p w14:paraId="5487463B" w14:textId="77777777" w:rsidR="009E632D" w:rsidRDefault="009E632D" w:rsidP="009E632D">
      <w:pPr>
        <w:ind w:left="1134"/>
        <w:contextualSpacing/>
        <w:rPr>
          <w:rFonts w:ascii="Times New Roman" w:hAnsi="Times New Roman"/>
          <w:u w:val="single"/>
        </w:rPr>
      </w:pPr>
    </w:p>
    <w:p w14:paraId="649E30E1" w14:textId="77777777" w:rsidR="009E632D" w:rsidRDefault="009E632D" w:rsidP="009E632D">
      <w:pPr>
        <w:widowControl w:val="0"/>
        <w:numPr>
          <w:ilvl w:val="0"/>
          <w:numId w:val="30"/>
        </w:numPr>
        <w:autoSpaceDE w:val="0"/>
        <w:autoSpaceDN w:val="0"/>
        <w:ind w:left="1134"/>
        <w:contextualSpacing/>
        <w:rPr>
          <w:rFonts w:ascii="Times New Roman" w:hAnsi="Times New Roman"/>
          <w:bCs/>
          <w:color w:val="000000"/>
          <w:shd w:val="clear" w:color="auto" w:fill="FFFFFF"/>
          <w:lang w:eastAsia="es-CO"/>
        </w:rPr>
      </w:pPr>
      <w:r>
        <w:rPr>
          <w:rFonts w:ascii="Times New Roman" w:hAnsi="Times New Roman"/>
          <w:bCs/>
          <w:color w:val="000000"/>
          <w:shd w:val="clear" w:color="auto" w:fill="FFFFFF"/>
          <w:lang w:eastAsia="es-CO"/>
        </w:rPr>
        <w:t xml:space="preserve">El literal j) del artículo   2.2.6.1.3.1. del Decreto Nacional 1076 de 2015,  el cual se establecen las obligaciones  del Generador de residuos peligrosos , prescribe: </w:t>
      </w:r>
      <w:r>
        <w:rPr>
          <w:rFonts w:ascii="Times New Roman" w:hAnsi="Times New Roman"/>
          <w:bCs/>
          <w:i/>
          <w:color w:val="000000"/>
          <w:shd w:val="clear" w:color="auto" w:fill="FFFFFF"/>
          <w:lang w:eastAsia="es-CO"/>
        </w:rPr>
        <w:t>“De conformidad con lo establecido en la ley, en el marco de la gestión integral de los residuos o desechos peligrosos, el generador debe: j) Tomar todas las medidas de carácter preventivo o de control previas al cese, cierre, clausura o desmantelamiento de su actividad con el fin de evitar cualquier episodio de contaminación que pueda representar un riesgo a la salud y al ambiente, relacionado con sus residuos o desechos peligrosos;”</w:t>
      </w:r>
    </w:p>
    <w:p w14:paraId="23C613B6"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bookmarkStart w:id="7" w:name="_Hlk10196112"/>
      <w:r>
        <w:rPr>
          <w:rFonts w:ascii="Times New Roman" w:hAnsi="Times New Roman"/>
          <w:b/>
          <w:i/>
          <w:iCs/>
          <w:u w:val="single"/>
          <w:shd w:val="clear" w:color="auto" w:fill="FFFFFF"/>
          <w:lang w:eastAsia="es-CO"/>
        </w:rPr>
        <w:t>El artículo 2.2.6.1.3.9 referente a la responsabilidad acerca de la contaminación y remediación de sitios, dispone:</w:t>
      </w:r>
      <w:r>
        <w:rPr>
          <w:rFonts w:ascii="Times New Roman" w:hAnsi="Times New Roman"/>
          <w:bCs/>
          <w:i/>
          <w:iCs/>
          <w:shd w:val="clear" w:color="auto" w:fill="FFFFFF"/>
          <w:lang w:eastAsia="es-CO"/>
        </w:rPr>
        <w:t xml:space="preserve"> </w:t>
      </w:r>
      <w:r>
        <w:rPr>
          <w:rFonts w:ascii="Times New Roman" w:hAnsi="Times New Roman"/>
          <w:i/>
          <w:shd w:val="clear" w:color="auto" w:fill="FFFFFF"/>
          <w:lang w:eastAsia="es-CO"/>
        </w:rPr>
        <w:t>Aquellas personas que resulten responsables de la contaminación de un sitio por efecto de un manejo o una gestión inadecuada de residuos o desechos peligrosos, estarán obligados entre oíros, a diagnosticar, remediar y reparar el daño causado a la salud y el ambiente, conforme a las disposiciones legales vigentes.</w:t>
      </w:r>
    </w:p>
    <w:bookmarkEnd w:id="7"/>
    <w:p w14:paraId="00EEFD25" w14:textId="77777777" w:rsidR="009E632D" w:rsidRDefault="009E632D" w:rsidP="009E632D">
      <w:pPr>
        <w:widowControl w:val="0"/>
        <w:numPr>
          <w:ilvl w:val="0"/>
          <w:numId w:val="30"/>
        </w:numPr>
        <w:autoSpaceDE w:val="0"/>
        <w:autoSpaceDN w:val="0"/>
        <w:ind w:left="1134"/>
        <w:contextualSpacing/>
        <w:rPr>
          <w:rFonts w:ascii="Times New Roman" w:hAnsi="Times New Roman"/>
          <w:lang w:eastAsia="es-CO"/>
        </w:rPr>
      </w:pPr>
      <w:r>
        <w:rPr>
          <w:rFonts w:ascii="Times New Roman" w:hAnsi="Times New Roman"/>
        </w:rPr>
        <w:t>Por su parte, el artículo 2.2.6.2.2.1 del mencionado Decreto, establece dentro de las prohibiciones respecto a los residuos o desechos peligrosos, la siguiente: “</w:t>
      </w:r>
      <w:r>
        <w:rPr>
          <w:rFonts w:ascii="Times New Roman" w:hAnsi="Times New Roman"/>
          <w:i/>
        </w:rPr>
        <w:t xml:space="preserve">Se prohíbe. </w:t>
      </w:r>
      <w:r>
        <w:rPr>
          <w:rFonts w:ascii="Times New Roman" w:hAnsi="Times New Roman"/>
          <w:i/>
          <w:lang w:eastAsia="es-CO"/>
        </w:rPr>
        <w:t xml:space="preserve">El abandono de residuos o desechos peligrosos en vías, </w:t>
      </w:r>
      <w:r>
        <w:rPr>
          <w:rFonts w:ascii="Times New Roman" w:hAnsi="Times New Roman"/>
          <w:b/>
          <w:i/>
          <w:lang w:eastAsia="es-CO"/>
        </w:rPr>
        <w:t>suelos</w:t>
      </w:r>
      <w:r>
        <w:rPr>
          <w:rFonts w:ascii="Times New Roman" w:hAnsi="Times New Roman"/>
          <w:i/>
          <w:lang w:eastAsia="es-CO"/>
        </w:rPr>
        <w:t>, humedales, parques, cuerpos de agua o en cualquier otro sitio”</w:t>
      </w:r>
    </w:p>
    <w:p w14:paraId="6B72279D" w14:textId="77777777" w:rsidR="009E632D" w:rsidRDefault="009E632D" w:rsidP="009E632D">
      <w:pPr>
        <w:widowControl w:val="0"/>
        <w:numPr>
          <w:ilvl w:val="0"/>
          <w:numId w:val="30"/>
        </w:numPr>
        <w:autoSpaceDE w:val="0"/>
        <w:autoSpaceDN w:val="0"/>
        <w:ind w:left="1134"/>
        <w:contextualSpacing/>
        <w:rPr>
          <w:rFonts w:ascii="Times New Roman" w:hAnsi="Times New Roman"/>
          <w:i/>
        </w:rPr>
      </w:pPr>
      <w:r>
        <w:rPr>
          <w:rFonts w:ascii="Times New Roman" w:hAnsi="Times New Roman"/>
        </w:rPr>
        <w:t xml:space="preserve">Adicionalmente su artículo 2.2.3.3.4.3, adicionado por el artículo 5 del Decreto Nacional 050 del 16 de enero de 2018, prescribe: </w:t>
      </w:r>
      <w:r>
        <w:rPr>
          <w:rFonts w:ascii="Times New Roman" w:hAnsi="Times New Roman"/>
          <w:i/>
        </w:rPr>
        <w:t>“Prohibiciones. No se admite vertimientos:</w:t>
      </w:r>
    </w:p>
    <w:p w14:paraId="1566B490"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t>11. Al suelo que contengan contaminantes orgánicos persistentes de los que trata el Convenio de Estocolmo sobre Contaminantes Orgánicos Persistentes.</w:t>
      </w:r>
    </w:p>
    <w:p w14:paraId="2029C75D"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t>12. Al suelo, en zonas de extrema a alta vulnerabilidad a la contaminación de acuíferos, determinada a partir de la información disponible y con el uso de metodologías referenciadas.</w:t>
      </w:r>
    </w:p>
    <w:p w14:paraId="7DD20676"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r>
        <w:rPr>
          <w:rFonts w:ascii="Times New Roman" w:eastAsia="Arial" w:hAnsi="Times New Roman"/>
          <w:i/>
          <w:lang w:val="es-MX" w:eastAsia="es-CO" w:bidi="es-CO"/>
        </w:rPr>
        <w:t> 13. Al suelo, en zonas de recarga alta de acuíferos que hayan sido identificadas por la autoridad ambiental competente con base en la metodología que para el efecto expida el Ministerio de Ambiente y Desarrollo Sostenible</w:t>
      </w:r>
      <w:r>
        <w:rPr>
          <w:rFonts w:ascii="Times New Roman" w:hAnsi="Times New Roman"/>
          <w:color w:val="666666"/>
          <w:sz w:val="23"/>
          <w:szCs w:val="23"/>
          <w:lang w:eastAsia="es-CO" w:bidi="es-CO"/>
        </w:rPr>
        <w:t>.”</w:t>
      </w:r>
    </w:p>
    <w:p w14:paraId="7D4EC83C"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264B13D"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distritales:</w:t>
      </w:r>
    </w:p>
    <w:p w14:paraId="7BF04C58" w14:textId="77777777" w:rsidR="009E632D" w:rsidRDefault="009E632D" w:rsidP="009E632D">
      <w:pPr>
        <w:widowControl w:val="0"/>
        <w:autoSpaceDE w:val="0"/>
        <w:autoSpaceDN w:val="0"/>
        <w:ind w:left="1276"/>
        <w:rPr>
          <w:rFonts w:ascii="Times New Roman" w:hAnsi="Times New Roman"/>
          <w:color w:val="666666"/>
          <w:sz w:val="23"/>
          <w:szCs w:val="23"/>
          <w:lang w:eastAsia="es-CO" w:bidi="es-CO"/>
        </w:rPr>
      </w:pPr>
    </w:p>
    <w:p w14:paraId="4CADCE58" w14:textId="77777777" w:rsidR="009E632D" w:rsidRDefault="009E632D" w:rsidP="009E632D">
      <w:pPr>
        <w:widowControl w:val="0"/>
        <w:numPr>
          <w:ilvl w:val="0"/>
          <w:numId w:val="29"/>
        </w:numPr>
        <w:autoSpaceDE w:val="0"/>
        <w:autoSpaceDN w:val="0"/>
        <w:ind w:left="1276"/>
        <w:contextualSpacing/>
        <w:rPr>
          <w:rFonts w:ascii="Times New Roman" w:hAnsi="Times New Roman"/>
        </w:rPr>
      </w:pPr>
      <w:r>
        <w:rPr>
          <w:rFonts w:ascii="Times New Roman" w:hAnsi="Times New Roman"/>
          <w:color w:val="000000"/>
          <w:u w:val="single"/>
        </w:rPr>
        <w:t>El Decreto Distrital 456 de 2008</w:t>
      </w:r>
      <w:r>
        <w:rPr>
          <w:rFonts w:ascii="Times New Roman" w:hAnsi="Times New Roman"/>
          <w:color w:val="000000"/>
        </w:rPr>
        <w:t xml:space="preserve">, a través del cual se derogó el Decreto Distrital 061 de 2003 y se reforma el Plan de Gestión Ambiental del Distrito Capital, instrumento que permite y orienta la gestión ambiental de todos los actores distritales con el propósito de que el proceso de desarrollo propenda por la sostenibilidad del </w:t>
      </w:r>
      <w:r>
        <w:rPr>
          <w:rFonts w:ascii="Times New Roman" w:hAnsi="Times New Roman"/>
          <w:color w:val="000000"/>
        </w:rPr>
        <w:lastRenderedPageBreak/>
        <w:t xml:space="preserve">territorio distrital y la región. </w:t>
      </w:r>
    </w:p>
    <w:p w14:paraId="42D1E1E8" w14:textId="77777777" w:rsidR="009E632D" w:rsidRDefault="009E632D" w:rsidP="009E632D">
      <w:pPr>
        <w:widowControl w:val="0"/>
        <w:numPr>
          <w:ilvl w:val="0"/>
          <w:numId w:val="30"/>
        </w:numPr>
        <w:autoSpaceDE w:val="0"/>
        <w:autoSpaceDN w:val="0"/>
        <w:ind w:left="1276"/>
        <w:contextualSpacing/>
        <w:rPr>
          <w:rFonts w:ascii="Times New Roman" w:hAnsi="Times New Roman"/>
        </w:rPr>
      </w:pPr>
      <w:r>
        <w:rPr>
          <w:rFonts w:ascii="Times New Roman" w:hAnsi="Times New Roman"/>
        </w:rPr>
        <w:t>Dicho decreto en su artículo 3 prevé que son corresponsables de la Gestión Ambiental del Distrito Capital de acuerdo con sus deberes, derechos, funciones, competencias, actividades, recursos y posibilidades, todas las personas naturales y jurídicas ubicadas en el territorio del Distrito Capital, de manera permanente o temporal, con la asesoría y bajo la coordinación de las autoridades ambientales.</w:t>
      </w:r>
    </w:p>
    <w:p w14:paraId="08D45641" w14:textId="77777777" w:rsidR="009E632D" w:rsidRDefault="009E632D" w:rsidP="009E632D">
      <w:pPr>
        <w:widowControl w:val="0"/>
        <w:numPr>
          <w:ilvl w:val="0"/>
          <w:numId w:val="28"/>
        </w:numPr>
        <w:autoSpaceDE w:val="0"/>
        <w:autoSpaceDN w:val="0"/>
        <w:ind w:left="1276" w:hanging="357"/>
        <w:contextualSpacing/>
        <w:rPr>
          <w:rFonts w:ascii="Times New Roman" w:eastAsia="Arial" w:hAnsi="Times New Roman"/>
          <w:color w:val="000000"/>
        </w:rPr>
      </w:pPr>
      <w:r>
        <w:rPr>
          <w:rFonts w:ascii="Times New Roman" w:hAnsi="Times New Roman"/>
          <w:color w:val="000000"/>
        </w:rPr>
        <w:t xml:space="preserve">Adicionalmente, el referido artículo establece como uno de los objetivos específicos de la gestión ambiental el referente a la calidad del suelo así: </w:t>
      </w:r>
      <w:r>
        <w:rPr>
          <w:rFonts w:ascii="Times New Roman" w:hAnsi="Times New Roman"/>
          <w:b/>
          <w:bCs/>
          <w:i/>
          <w:color w:val="000000"/>
          <w:shd w:val="clear" w:color="auto" w:fill="FFFFFF"/>
        </w:rPr>
        <w:t>Calidad del suelo</w:t>
      </w:r>
      <w:r>
        <w:rPr>
          <w:rFonts w:ascii="Times New Roman" w:hAnsi="Times New Roman"/>
          <w:i/>
          <w:color w:val="000000"/>
          <w:shd w:val="clear" w:color="auto" w:fill="FFFFFF"/>
        </w:rPr>
        <w:t>: Aportar en la recuperación y mantenimiento de la calidad y la estabilidad del suelo para el funcionamiento de los ecosistemas, la regulación de las cuencas y la seguridad de los asentamientos.</w:t>
      </w:r>
    </w:p>
    <w:p w14:paraId="54FDAE57" w14:textId="340C77EE"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D61B8DB" w14:textId="08FD89C5"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019B06BD" w14:textId="335E2EAB"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3F311DD4" w14:textId="77777777"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23161853" w14:textId="77777777" w:rsidR="009E632D" w:rsidRDefault="009E632D" w:rsidP="009E632D">
      <w:pPr>
        <w:ind w:firstLine="360"/>
        <w:jc w:val="left"/>
        <w:rPr>
          <w:rFonts w:ascii="Times New Roman" w:hAnsi="Times New Roman"/>
          <w:b/>
          <w:bCs/>
          <w:szCs w:val="24"/>
          <w:lang w:eastAsia="es-CO"/>
        </w:rPr>
      </w:pPr>
      <w:r>
        <w:rPr>
          <w:rFonts w:ascii="Times New Roman" w:hAnsi="Times New Roman"/>
          <w:b/>
          <w:bCs/>
          <w:szCs w:val="24"/>
          <w:lang w:eastAsia="es-CO"/>
        </w:rPr>
        <w:t>Grupo Hidrocarburos:</w:t>
      </w:r>
    </w:p>
    <w:p w14:paraId="21AFDE07" w14:textId="77777777" w:rsidR="009E632D" w:rsidRDefault="009E632D" w:rsidP="009E632D">
      <w:pPr>
        <w:jc w:val="left"/>
        <w:rPr>
          <w:rFonts w:ascii="Times New Roman" w:hAnsi="Times New Roman"/>
          <w:b/>
          <w:bCs/>
          <w:szCs w:val="24"/>
          <w:lang w:eastAsia="es-CO"/>
        </w:rPr>
      </w:pPr>
    </w:p>
    <w:p w14:paraId="72E57D05" w14:textId="77777777" w:rsidR="009E632D" w:rsidRDefault="009E632D" w:rsidP="009E632D">
      <w:pPr>
        <w:ind w:left="360"/>
        <w:rPr>
          <w:rFonts w:ascii="Times New Roman" w:hAnsi="Times New Roman"/>
        </w:rPr>
      </w:pPr>
      <w:r>
        <w:rPr>
          <w:rFonts w:ascii="Times New Roman" w:hAnsi="Times New Roman"/>
        </w:rPr>
        <w:t xml:space="preserve">El Grupo Hidrocarburos en el marco de las funciones de apoyo en el cumplimento del Decreto 109 de 2009 (Modificado por el Decreto 175/2009), desempeña funciones de apoyo en la evaluación de instrumentos ambientales a usuarios asociados a gestión y uso de hidrocarburos, y asimismo dentro de la misionalidad de los equipos de la Subdirección del Recurso Hídrico y del Suelo como parte de Dirección de Control Ambiental, realiza visitas de inspección a predios que cuentan, o han contado con actividades relacionadas con la distribución, almacenamiento de hidrocarburos líquidos, las cuales motivan actuaciones técnicas y administrativas para realizar control y seguimiento ambiental acorde a la normatividad legal vigente y el aseguramiento y protección del medio ambiente en el Distrito Capital. </w:t>
      </w:r>
    </w:p>
    <w:p w14:paraId="68FA17C8" w14:textId="77777777" w:rsidR="009E632D" w:rsidRDefault="009E632D" w:rsidP="009E632D">
      <w:pPr>
        <w:ind w:left="360"/>
        <w:rPr>
          <w:rFonts w:ascii="Times New Roman" w:hAnsi="Times New Roman"/>
        </w:rPr>
      </w:pPr>
    </w:p>
    <w:p w14:paraId="5D6F544F" w14:textId="77777777" w:rsidR="009E632D" w:rsidRDefault="009E632D" w:rsidP="009E632D">
      <w:pPr>
        <w:ind w:left="360"/>
        <w:rPr>
          <w:rFonts w:ascii="Times New Roman" w:hAnsi="Times New Roman"/>
        </w:rPr>
      </w:pPr>
      <w:r>
        <w:rPr>
          <w:rFonts w:ascii="Times New Roman" w:hAnsi="Times New Roman"/>
        </w:rPr>
        <w:t>El manejo de hidrocarburos a nivel subterráneo sugiere un riesgo de impacto y afectación ambiental a fuentes de suelo y agua subterránea del acuífero somero, que hace necesario un control ambiental especifico que ha sido amparado bajo normatividades ambientales Distritales (Resolución 1170/1997), que requieren actualización a la luz del uso de nuevas tecnología y alternativas de manejo de hidrocarburos, y asimismo para estar en coordinación con los avances técnico-normativos en materia de almacenamiento y distribución de combustibles de origen fósil planteados por el Ministerio de Minas y Energía (Ley 1437 de 2011, Decreto 1073 de 2015 y Resoluciones 31348 de 2015 y 40278 de 2017). Adicionalmente, y a la luz de los cambios normativos en materia de planes de contingencia para derrames de hidrocarburos del Decreto 50 de 2018 se debe realizar un control a los planes implementados por los establecimientos que almacenan y distribuyen combustibles.</w:t>
      </w:r>
    </w:p>
    <w:p w14:paraId="13022FD2" w14:textId="77777777" w:rsidR="009E632D" w:rsidRDefault="009E632D" w:rsidP="009E632D">
      <w:pPr>
        <w:ind w:left="360"/>
        <w:rPr>
          <w:rFonts w:ascii="Times New Roman" w:hAnsi="Times New Roman"/>
        </w:rPr>
      </w:pPr>
    </w:p>
    <w:p w14:paraId="55F14BF3" w14:textId="77777777" w:rsidR="009E632D" w:rsidRDefault="009E632D" w:rsidP="009E632D">
      <w:pPr>
        <w:ind w:left="360"/>
        <w:rPr>
          <w:rFonts w:ascii="Times New Roman" w:hAnsi="Times New Roman"/>
        </w:rPr>
      </w:pPr>
      <w:r>
        <w:rPr>
          <w:rFonts w:ascii="Times New Roman" w:hAnsi="Times New Roman"/>
        </w:rPr>
        <w:t>De acuerdo con las actividades de control realizada por el grupo se identificaron 571 predios donde se adelanta o se adelantó la actividad de almacenamiento y distribución de combustibles, predios que cuentan o contaron con sistemas de almacenamiento y distribución subterráneo, lo cual sugiere la presencia de riesgos de generación de contaminación por fuga y/o derrames de sustancias de interés a recurso suelo y/o agua subterránea, y por ende sitios contaminados o con pasivos ambientales.</w:t>
      </w:r>
    </w:p>
    <w:p w14:paraId="24FBA01E" w14:textId="77777777" w:rsidR="009E632D" w:rsidRDefault="009E632D" w:rsidP="009E632D">
      <w:pPr>
        <w:ind w:left="360"/>
        <w:rPr>
          <w:rFonts w:ascii="Times New Roman" w:hAnsi="Times New Roman"/>
        </w:rPr>
      </w:pPr>
    </w:p>
    <w:p w14:paraId="643A5585" w14:textId="77777777" w:rsidR="009E632D" w:rsidRDefault="009E632D" w:rsidP="009E632D">
      <w:pPr>
        <w:ind w:left="360"/>
        <w:rPr>
          <w:rFonts w:ascii="Times New Roman" w:hAnsi="Times New Roman"/>
        </w:rPr>
      </w:pPr>
      <w:r>
        <w:rPr>
          <w:rFonts w:ascii="Times New Roman" w:hAnsi="Times New Roman"/>
        </w:rPr>
        <w:lastRenderedPageBreak/>
        <w:t>Por lo anterior, se refleja la necesidad de realizar un seguimiento constante a la totalidad de los predios identificados por la entidad y así encaminar al sector hacia una conciencia de prevención y control en busca de la protección de los derechos colectivos al gozo de un ambiente sano de la comunidad ubicada en las áreas de influencia.</w:t>
      </w:r>
    </w:p>
    <w:p w14:paraId="2CEFB91E" w14:textId="77777777" w:rsidR="009E632D" w:rsidRDefault="009E632D" w:rsidP="009E632D">
      <w:pPr>
        <w:ind w:left="360"/>
        <w:rPr>
          <w:rFonts w:ascii="Times New Roman" w:hAnsi="Times New Roman"/>
        </w:rPr>
      </w:pPr>
    </w:p>
    <w:p w14:paraId="039D79A9" w14:textId="77777777" w:rsidR="009E632D" w:rsidRDefault="009E632D" w:rsidP="009E632D">
      <w:pPr>
        <w:ind w:left="360"/>
        <w:rPr>
          <w:rFonts w:ascii="Times New Roman" w:hAnsi="Times New Roman"/>
        </w:rPr>
      </w:pPr>
      <w:r>
        <w:rPr>
          <w:rFonts w:ascii="Times New Roman" w:hAnsi="Times New Roman"/>
        </w:rPr>
        <w:t>Durante las actividades de identificación se estableció que el 57% (326) de los predios presentaron antecedentes y evidencia de afectación al suelo y al agua subterránea por presencia de producto en fase libre (combustibles) en las inspecciones visuales de los pozos de observación y monitoreo, sin embargo, solo el 24% (138) se encuentran en planeación y ejecución de estudios de sitio para diagnosticar el estado de los predios. Por otro lado, el 43% (245) de los predios no han presentado características de afectación, pero debido al potencial de afectación fueron requeridos para que optimizaran la ejecución de los protocolos de control y reporte para verificación de fugas, y serán objeto de control para monitorear la gestión de prevención adecuada en su operación. Como se puede observar en la figura 3 es necesario adelantar las siguientes actividades en predios que desarrollan actividades de almacenamiento y distribución de combustibles</w:t>
      </w:r>
    </w:p>
    <w:p w14:paraId="4B50FFFE" w14:textId="77777777" w:rsidR="009E632D" w:rsidRDefault="009E632D" w:rsidP="009E632D">
      <w:pPr>
        <w:ind w:left="360"/>
        <w:rPr>
          <w:rFonts w:ascii="Times New Roman" w:hAnsi="Times New Roman"/>
        </w:rPr>
      </w:pPr>
    </w:p>
    <w:p w14:paraId="7D798491"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Verificar si hay alguna novedad frente a las condiciones de almacenamiento y distribución que hayan derivado en una presunta afectación en la calidad del recurso hídrico y/subterráneo, para que en función de esto se impongan las medidas de investigación necesarias para definir si en el (los) predio (s) requiere(n) adelantar un plan de remediación.</w:t>
      </w:r>
    </w:p>
    <w:p w14:paraId="39DFB1F3"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seguimiento a las acciones de atención a sitios con antecedentes de presencia de olor, iridiscencia y/o presencia de producto en fase libre en los pozos de monitoreo y/o observación de las estaciones de servicio, quienes ya cuentan con requerimientos de investigación por parte de la Secretaría Distrital de Ambiente.</w:t>
      </w:r>
    </w:p>
    <w:p w14:paraId="55BA9A1B"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acciones periódicas de control y vigilancia, en predios sin antecedentes de afectación, recopilando adicionalmente informaciones hidrogeológicas básica (nivel freático y nivel estático) para alimentar información en el modelo conceptual</w:t>
      </w:r>
    </w:p>
    <w:p w14:paraId="72B6EE0C" w14:textId="77777777" w:rsidR="009E632D" w:rsidRDefault="009E632D" w:rsidP="009E632D">
      <w:pPr>
        <w:ind w:left="360"/>
        <w:rPr>
          <w:rFonts w:ascii="Times New Roman" w:hAnsi="Times New Roman"/>
        </w:rPr>
      </w:pPr>
    </w:p>
    <w:p w14:paraId="6ED7464E"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Figura 3. Identificación de afectación al suelo y el agua subterránea del acuífero somero en predios que almacenan y distribuyen combustibles en el Distrito Capital</w:t>
      </w:r>
    </w:p>
    <w:p w14:paraId="53B11998" w14:textId="77777777" w:rsidR="009E632D" w:rsidRDefault="009E632D" w:rsidP="009E632D">
      <w:pPr>
        <w:ind w:left="360"/>
        <w:rPr>
          <w:rFonts w:ascii="Times New Roman" w:hAnsi="Times New Roman"/>
        </w:rPr>
      </w:pPr>
    </w:p>
    <w:p w14:paraId="4C2FAE6A" w14:textId="666B83FA" w:rsidR="009E632D" w:rsidRDefault="009E632D" w:rsidP="008C086D">
      <w:pPr>
        <w:jc w:val="center"/>
        <w:rPr>
          <w:rFonts w:ascii="Times New Roman" w:hAnsi="Times New Roman"/>
        </w:rPr>
      </w:pPr>
      <w:r>
        <w:rPr>
          <w:rFonts w:ascii="Times New Roman" w:hAnsi="Times New Roman"/>
          <w:noProof/>
          <w:lang w:eastAsia="es-CO"/>
        </w:rPr>
        <w:drawing>
          <wp:inline distT="0" distB="0" distL="0" distR="0" wp14:anchorId="0EF984AF" wp14:editId="45B2EC3B">
            <wp:extent cx="4867275" cy="2257425"/>
            <wp:effectExtent l="0" t="0" r="0" b="0"/>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42FC50"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10D660CF" w14:textId="77777777" w:rsidR="009E632D" w:rsidRDefault="009E632D" w:rsidP="009E632D">
      <w:pPr>
        <w:ind w:left="360"/>
        <w:jc w:val="center"/>
        <w:rPr>
          <w:rFonts w:ascii="Times New Roman" w:hAnsi="Times New Roman"/>
          <w:sz w:val="22"/>
          <w:szCs w:val="22"/>
        </w:rPr>
      </w:pPr>
    </w:p>
    <w:p w14:paraId="0B4C8D37" w14:textId="77777777" w:rsidR="009E632D" w:rsidRDefault="009E632D" w:rsidP="009E632D">
      <w:pPr>
        <w:ind w:left="360"/>
        <w:rPr>
          <w:rFonts w:ascii="Times New Roman" w:hAnsi="Times New Roman"/>
        </w:rPr>
      </w:pPr>
      <w:r>
        <w:rPr>
          <w:rFonts w:ascii="Times New Roman" w:hAnsi="Times New Roman"/>
        </w:rPr>
        <w:t>Finalmente, es necesario advertir que de los 446 usuarios identificados en los 571 predios que desarrollan actividades relacionadas con almacenamiento y distribución de combustibles solo el 41% cuenta con planes de contingencia para derrames de hidrocarburos líquidos derivados de petróleo aprobados y acogidos por la entidad, acorde a lo establecido en el Decreto 50 de 2018 y la Resolución 1168 de 2015. Siendo necesario realizar seguimiento y control a la actualización y puesta a punto del instrumento de control de derrames como herramienta de prevención y riesgo de afectación al suelo y al agua subterránea del acuífero somero.</w:t>
      </w:r>
    </w:p>
    <w:p w14:paraId="12D22A4F" w14:textId="77777777" w:rsidR="009E632D" w:rsidRDefault="009E632D" w:rsidP="009E632D">
      <w:pPr>
        <w:jc w:val="left"/>
        <w:rPr>
          <w:rFonts w:ascii="Times New Roman" w:hAnsi="Times New Roman"/>
          <w:b/>
          <w:bCs/>
          <w:szCs w:val="24"/>
          <w:lang w:eastAsia="es-CO"/>
        </w:rPr>
      </w:pPr>
    </w:p>
    <w:p w14:paraId="23ADDC70" w14:textId="77777777" w:rsidR="009E632D" w:rsidRDefault="009E632D" w:rsidP="009E632D">
      <w:pPr>
        <w:pStyle w:val="Prrafodelista"/>
        <w:numPr>
          <w:ilvl w:val="0"/>
          <w:numId w:val="25"/>
        </w:numPr>
        <w:contextualSpacing/>
        <w:jc w:val="left"/>
        <w:rPr>
          <w:rFonts w:ascii="Times New Roman" w:hAnsi="Times New Roman"/>
          <w:b/>
          <w:bCs/>
          <w:szCs w:val="24"/>
          <w:lang w:eastAsia="es-CO"/>
        </w:rPr>
      </w:pPr>
      <w:r>
        <w:rPr>
          <w:rFonts w:ascii="Times New Roman" w:hAnsi="Times New Roman"/>
          <w:b/>
          <w:bCs/>
          <w:szCs w:val="24"/>
          <w:lang w:eastAsia="es-CO"/>
        </w:rPr>
        <w:t>Grupo Minería</w:t>
      </w:r>
    </w:p>
    <w:p w14:paraId="5FEE6FF4" w14:textId="77777777" w:rsidR="009E632D" w:rsidRDefault="009E632D" w:rsidP="009E632D">
      <w:pPr>
        <w:jc w:val="left"/>
        <w:rPr>
          <w:rFonts w:ascii="Times New Roman" w:hAnsi="Times New Roman"/>
          <w:szCs w:val="24"/>
          <w:highlight w:val="green"/>
          <w:lang w:eastAsia="es-CO"/>
        </w:rPr>
      </w:pPr>
    </w:p>
    <w:p w14:paraId="5949D77B"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El control ambiental de los actos administrativos de suspensión preventiva de las actividades extractivas, beneficio y transformación de minerales, ha generado la evaluación y establecimiento de instrumentos administrativos de manejos y controles ambientales Plan de Manejo Recuperación y Restauración Ambiental (PMRRA) y Plan de Restauración y recuperación (PRR), y el seguimiento de los Planes de Manejo Ambiental (PMA) e instrumentos PMRRA y PRR en el perímetro urbano del Distrito Capital, en jurisdicción de la Secretaría Distrital de Ambiente, en cumplimiento de la Acción Popular  2001-00479 de la Sentencia del Río Bogotá, en las siguientes Ordenes:</w:t>
      </w:r>
    </w:p>
    <w:p w14:paraId="00DC5C7C"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 xml:space="preserve"> </w:t>
      </w:r>
    </w:p>
    <w:p w14:paraId="20D4A983"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Numeral 4.26: Literal II - inciso i)</w:t>
      </w:r>
      <w:r>
        <w:rPr>
          <w:rFonts w:ascii="Times New Roman" w:hAnsi="Times New Roman"/>
          <w:i/>
          <w:iCs/>
          <w:szCs w:val="24"/>
          <w:lang w:eastAsia="es-CO"/>
        </w:rPr>
        <w:t xml:space="preserve"> revocar o suspender las licencias, títulos, permisos, autorizaciones o concesiones para el uso y aprovechamiento de los recursos naturales y del medio ambiente en las zonas de exclusión,</w:t>
      </w:r>
      <w:r>
        <w:rPr>
          <w:rFonts w:ascii="Times New Roman" w:hAnsi="Times New Roman"/>
          <w:szCs w:val="24"/>
          <w:lang w:eastAsia="es-CO"/>
        </w:rPr>
        <w:t xml:space="preserve"> la Secretaria Distrital de Ambiente ordenó la suspensión preventiva de la explotación de materiales de construcción y arcillas en el  Frente Norte del área del Contrato de Concesión Minera No. 14810 de la sociedad Ladrillera Zigurat S.A.S, por encontrase dentro del Parque Ecológico de Montaña Entrenubes.</w:t>
      </w:r>
    </w:p>
    <w:p w14:paraId="1977BD5E"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Con relación a lo ordenado en el inciso ii)</w:t>
      </w:r>
      <w:r>
        <w:rPr>
          <w:rFonts w:ascii="Times New Roman" w:hAnsi="Times New Roman"/>
          <w:i/>
          <w:iCs/>
          <w:szCs w:val="24"/>
          <w:lang w:eastAsia="es-CO"/>
        </w:rPr>
        <w:t xml:space="preserve"> revocar o suspender las licencias, títulos, permisos, autorizaciones o concesiones para el uso y aprovechamiento de los recursos naturales cuando se establezca el incumplimiento de las condiciones o exigencias de acuerdo con los actos de expedición., </w:t>
      </w:r>
      <w:r>
        <w:rPr>
          <w:rFonts w:ascii="Times New Roman" w:hAnsi="Times New Roman"/>
          <w:szCs w:val="24"/>
          <w:lang w:eastAsia="es-CO"/>
        </w:rPr>
        <w:t>se precisa que la orden se encuentra enmarcada hacia los proyectos obras o actividades con Plan de Manejo Ambiental – PMA establecidos por la Secretaría Distrital de Ambiente, correspondiente a las áreas de los Contratos de Concesiones Mineras Nos. 14807 - Ladrillera Prisma S.A.S, EDHL-01 y 14809 Ladrillera Helios S.A, y 14808 Ladrillera Yomasa S.A. que encuentran en el Polígono 1 y a la Licencia Ambiental del Registro Minero de Cantera 066 del Predio Julia Alicia Gómez de Franco – Cantera Recebera Cerro Colorado que se localiza en el polígono 3 de las zonas compatibles con las actividades mineras en la Sabana de Bogotá establecidas en las Resoluciones Nos. 2001 de 2016 y 1499 de 2018 del MADS. La SDA le ha venido haciendo seguimiento a los PMA de las empresas mineras del Polígono 1. Con relación a la empresa minera del Polígono 3 la Licencia Ambiental se otorgó este año; por lo tanto, el seguimiento se realizará el año entrante.</w:t>
      </w:r>
    </w:p>
    <w:p w14:paraId="21A875A9" w14:textId="77777777" w:rsidR="009E632D" w:rsidRDefault="009E632D" w:rsidP="009E632D">
      <w:pPr>
        <w:pStyle w:val="Prrafodelista"/>
        <w:ind w:left="426"/>
        <w:contextualSpacing/>
        <w:rPr>
          <w:rFonts w:ascii="Times New Roman" w:hAnsi="Times New Roman"/>
          <w:szCs w:val="24"/>
          <w:lang w:eastAsia="es-CO"/>
        </w:rPr>
      </w:pPr>
    </w:p>
    <w:p w14:paraId="56B6A08F" w14:textId="77777777" w:rsidR="009E632D" w:rsidRDefault="009E632D" w:rsidP="009E632D">
      <w:pPr>
        <w:ind w:left="708"/>
        <w:rPr>
          <w:rFonts w:ascii="Times New Roman" w:hAnsi="Times New Roman"/>
          <w:szCs w:val="24"/>
          <w:lang w:eastAsia="es-CO"/>
        </w:rPr>
      </w:pPr>
      <w:r>
        <w:rPr>
          <w:rFonts w:ascii="Times New Roman" w:hAnsi="Times New Roman"/>
          <w:szCs w:val="24"/>
          <w:lang w:eastAsia="es-CO"/>
        </w:rPr>
        <w:t xml:space="preserve">Referente al Numeral 4.26: Literal III), En estricto orden al fallo referido y actuando de manera taxativa a la orden que indica </w:t>
      </w:r>
      <w:r>
        <w:rPr>
          <w:rFonts w:ascii="Times New Roman" w:hAnsi="Times New Roman"/>
          <w:i/>
          <w:iCs/>
          <w:szCs w:val="24"/>
          <w:lang w:eastAsia="es-CO"/>
        </w:rPr>
        <w:t xml:space="preserve">“(…) exijan de los particulares o entes públicos o privados a los que se les haya otorgado las licencias ambientales, autorizaciones, permisos o concesiones a cielo abierto, o en una zona específica, declarados </w:t>
      </w:r>
      <w:r>
        <w:rPr>
          <w:rFonts w:ascii="Times New Roman" w:hAnsi="Times New Roman"/>
          <w:i/>
          <w:iCs/>
          <w:szCs w:val="24"/>
          <w:lang w:eastAsia="es-CO"/>
        </w:rPr>
        <w:lastRenderedPageBreak/>
        <w:t>responsables, la indemnización, restauración o sustitución, morfológica y ambiental de todo el suelo intervenido en la explotación, por cuenta de los beneficiarios de dichos títulos, permisos, licencias o concesiones.”,</w:t>
      </w:r>
      <w:r>
        <w:rPr>
          <w:rFonts w:ascii="Times New Roman" w:hAnsi="Times New Roman"/>
          <w:szCs w:val="24"/>
          <w:lang w:eastAsia="es-CO"/>
        </w:rPr>
        <w:t xml:space="preserve"> </w:t>
      </w:r>
      <w:r>
        <w:rPr>
          <w:rFonts w:ascii="Times New Roman" w:hAnsi="Times New Roman"/>
          <w:szCs w:val="24"/>
          <w:lang w:eastAsia="en-US"/>
        </w:rPr>
        <w:t xml:space="preserve">la Secretaría Distrital de Ambiente </w:t>
      </w:r>
      <w:r>
        <w:rPr>
          <w:rFonts w:ascii="Times New Roman" w:hAnsi="Times New Roman"/>
          <w:szCs w:val="24"/>
          <w:lang w:eastAsia="es-CO"/>
        </w:rPr>
        <w:t>determinó que los usuarios con predios sujetos a control de esta autoridad ambiental, que obtuvieron sus títulos mineros y a los cuales se les exigió los instrumentos ambientales son: Cantera El Cedro San Carlos, Central de Mezclas S.A. y Cemex Colombia S.A, Predio Cantarrana Ladrillera Alemana S.A.S, Ladrillera Los Tejares S.A.S., Predio Cesar Darío Suarez Herrera y Otros - Ladrillera La Sexta, Ladrillera El Mirador  y Empresa Holcim Colombia S.A.</w:t>
      </w:r>
    </w:p>
    <w:p w14:paraId="373A6D12" w14:textId="77777777" w:rsidR="009E632D" w:rsidRDefault="009E632D" w:rsidP="009E632D">
      <w:pPr>
        <w:pStyle w:val="Prrafodelista"/>
        <w:ind w:left="426"/>
        <w:contextualSpacing/>
        <w:rPr>
          <w:rFonts w:ascii="Times New Roman" w:hAnsi="Times New Roman"/>
          <w:szCs w:val="24"/>
          <w:lang w:eastAsia="es-CO"/>
        </w:rPr>
      </w:pPr>
    </w:p>
    <w:p w14:paraId="577728E6" w14:textId="77777777" w:rsidR="009E632D" w:rsidRDefault="009E632D" w:rsidP="009E632D">
      <w:pPr>
        <w:pStyle w:val="Subttulo"/>
        <w:spacing w:after="0"/>
        <w:ind w:left="708"/>
        <w:rPr>
          <w:rFonts w:ascii="Times New Roman" w:eastAsia="Times New Roman" w:hAnsi="Times New Roman" w:cs="Times New Roman"/>
          <w:color w:val="auto"/>
          <w:sz w:val="24"/>
          <w:szCs w:val="24"/>
          <w:lang w:eastAsia="es-CO"/>
        </w:rPr>
      </w:pPr>
      <w:r>
        <w:rPr>
          <w:rFonts w:ascii="Times New Roman" w:eastAsia="Times New Roman" w:hAnsi="Times New Roman" w:cs="Times New Roman"/>
          <w:color w:val="auto"/>
          <w:sz w:val="24"/>
          <w:szCs w:val="24"/>
          <w:lang w:eastAsia="es-CO"/>
        </w:rPr>
        <w:t xml:space="preserve">En lo relacionado con la Numeral 4.26: Literal IV), donde se ordena se </w:t>
      </w:r>
      <w:r>
        <w:rPr>
          <w:rFonts w:ascii="Times New Roman" w:eastAsia="Times New Roman" w:hAnsi="Times New Roman" w:cs="Times New Roman"/>
          <w:i w:val="0"/>
          <w:iCs/>
          <w:color w:val="auto"/>
          <w:sz w:val="24"/>
          <w:szCs w:val="24"/>
          <w:lang w:eastAsia="es-CO"/>
        </w:rPr>
        <w:t>realice el inventario de Pasivos Ambientales Mineros –PAM con el objeto de adelantar los procesos administrativos y judiciales correspondientes</w:t>
      </w:r>
      <w:r>
        <w:rPr>
          <w:rFonts w:ascii="Times New Roman" w:eastAsia="Times New Roman" w:hAnsi="Times New Roman" w:cs="Times New Roman"/>
          <w:color w:val="auto"/>
          <w:sz w:val="24"/>
          <w:szCs w:val="24"/>
          <w:lang w:eastAsia="es-CO"/>
        </w:rPr>
        <w:t>, a pesar de no contar con la definición de pasivos ambientales mineros, la SDA en cumplimiento misional y de la orden dada en la sentencia, han identificado 95 usuarios con predios afectados por actividad extractiva de minerales, que deben presentar el PMRRA o PRR; de los cuales a cinco usuarios se les establecieron los respectivos instrumentos ambientales (PRR: Chircal Hermanos Ortiz Pardo – Constructora Bolívar S.A, Chircal María Munevar – IDRD, Predio Yerbabuena – UAESP y Ladrillera El Rogal. PMRRA: Cantera Cerro E Ibiza)</w:t>
      </w:r>
    </w:p>
    <w:p w14:paraId="1D8EF598" w14:textId="77777777" w:rsidR="00527722" w:rsidRDefault="00527722" w:rsidP="009E632D">
      <w:pPr>
        <w:pStyle w:val="Prrafodelista"/>
        <w:ind w:left="426"/>
        <w:contextualSpacing/>
        <w:rPr>
          <w:rFonts w:ascii="Times New Roman" w:hAnsi="Times New Roman"/>
          <w:szCs w:val="24"/>
          <w:lang w:eastAsia="es-CO"/>
        </w:rPr>
      </w:pPr>
    </w:p>
    <w:p w14:paraId="0045F3E6" w14:textId="5A522CD6"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Como resultado de las actividades de control, evaluación y seguimiento ambiental, al cierre de la vigencia de 2019 se han inventariado en el perímetro urbano de Bogotá D.C, 107 usuarios con 217 predios afectados por actividad extractiva de minerales. Asimismo, durante el año 2020 se identificó un predio más objeto de control, en la Tabla 2, Se relacionan los predios identificados.</w:t>
      </w:r>
    </w:p>
    <w:p w14:paraId="16AA7807" w14:textId="2EFFD71A" w:rsidR="009E632D" w:rsidRDefault="009E632D" w:rsidP="009E632D">
      <w:pPr>
        <w:pStyle w:val="Prrafodelista"/>
        <w:ind w:left="426"/>
        <w:contextualSpacing/>
        <w:rPr>
          <w:rFonts w:ascii="Times New Roman" w:hAnsi="Times New Roman"/>
          <w:szCs w:val="24"/>
          <w:lang w:eastAsia="es-CO"/>
        </w:rPr>
      </w:pPr>
    </w:p>
    <w:p w14:paraId="27EBDC02" w14:textId="1E641138" w:rsidR="00527722" w:rsidRDefault="00527722" w:rsidP="009E632D">
      <w:pPr>
        <w:pStyle w:val="Prrafodelista"/>
        <w:ind w:left="426"/>
        <w:contextualSpacing/>
        <w:rPr>
          <w:rFonts w:ascii="Times New Roman" w:hAnsi="Times New Roman"/>
          <w:szCs w:val="24"/>
          <w:lang w:eastAsia="es-CO"/>
        </w:rPr>
      </w:pPr>
    </w:p>
    <w:p w14:paraId="7FF558AC" w14:textId="0257BBB2" w:rsidR="00527722" w:rsidRDefault="00527722" w:rsidP="009E632D">
      <w:pPr>
        <w:pStyle w:val="Prrafodelista"/>
        <w:ind w:left="426"/>
        <w:contextualSpacing/>
        <w:rPr>
          <w:rFonts w:ascii="Times New Roman" w:hAnsi="Times New Roman"/>
          <w:szCs w:val="24"/>
          <w:lang w:eastAsia="es-CO"/>
        </w:rPr>
      </w:pPr>
    </w:p>
    <w:p w14:paraId="7AC83CDB" w14:textId="6ED3894E" w:rsidR="00527722" w:rsidRDefault="00527722" w:rsidP="009E632D">
      <w:pPr>
        <w:pStyle w:val="Prrafodelista"/>
        <w:ind w:left="426"/>
        <w:contextualSpacing/>
        <w:rPr>
          <w:rFonts w:ascii="Times New Roman" w:hAnsi="Times New Roman"/>
          <w:szCs w:val="24"/>
          <w:lang w:eastAsia="es-CO"/>
        </w:rPr>
      </w:pPr>
    </w:p>
    <w:p w14:paraId="44476DE5" w14:textId="034FCE13" w:rsidR="00527722" w:rsidRDefault="00527722" w:rsidP="009E632D">
      <w:pPr>
        <w:pStyle w:val="Prrafodelista"/>
        <w:ind w:left="426"/>
        <w:contextualSpacing/>
        <w:rPr>
          <w:rFonts w:ascii="Times New Roman" w:hAnsi="Times New Roman"/>
          <w:szCs w:val="24"/>
          <w:lang w:eastAsia="es-CO"/>
        </w:rPr>
      </w:pPr>
    </w:p>
    <w:p w14:paraId="27A16740" w14:textId="77777777" w:rsidR="00527722" w:rsidRDefault="00527722" w:rsidP="009E632D">
      <w:pPr>
        <w:pStyle w:val="Prrafodelista"/>
        <w:ind w:left="426"/>
        <w:contextualSpacing/>
        <w:rPr>
          <w:rFonts w:ascii="Times New Roman" w:hAnsi="Times New Roman"/>
          <w:szCs w:val="24"/>
          <w:lang w:eastAsia="es-CO"/>
        </w:rPr>
      </w:pPr>
    </w:p>
    <w:p w14:paraId="24CB643C"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2. Estado actual de los predios identificados con desarrollo o antecedente de explotación Minera en el Distrito Capital.</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3"/>
        <w:gridCol w:w="3874"/>
        <w:gridCol w:w="1229"/>
        <w:gridCol w:w="13"/>
      </w:tblGrid>
      <w:tr w:rsidR="009E632D" w14:paraId="2244FC48" w14:textId="77777777" w:rsidTr="00884D51">
        <w:trPr>
          <w:gridAfter w:val="1"/>
          <w:wAfter w:w="13" w:type="dxa"/>
          <w:trHeight w:val="39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29D122C7"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 xml:space="preserve">Usuarios Mineros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72FF532"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Instrumento ambiental establecido</w:t>
            </w:r>
          </w:p>
        </w:tc>
        <w:tc>
          <w:tcPr>
            <w:tcW w:w="1229" w:type="dxa"/>
            <w:tcBorders>
              <w:top w:val="single" w:sz="4" w:space="0" w:color="000000"/>
              <w:left w:val="single" w:sz="4" w:space="0" w:color="000000"/>
              <w:bottom w:val="single" w:sz="4" w:space="0" w:color="000000"/>
              <w:right w:val="single" w:sz="4" w:space="0" w:color="000000"/>
            </w:tcBorders>
            <w:vAlign w:val="center"/>
            <w:hideMark/>
          </w:tcPr>
          <w:p w14:paraId="65DE7540"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Predios</w:t>
            </w:r>
          </w:p>
        </w:tc>
      </w:tr>
      <w:tr w:rsidR="009E632D" w14:paraId="063A718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4B8F1C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sz w:val="18"/>
                <w:szCs w:val="18"/>
                <w:lang w:val="es-ES" w:eastAsia="en-US"/>
              </w:rPr>
              <w:t>1.</w:t>
            </w:r>
            <w:r>
              <w:rPr>
                <w:rFonts w:ascii="Times New Roman" w:eastAsia="Calibri" w:hAnsi="Times New Roman"/>
                <w:sz w:val="18"/>
                <w:szCs w:val="18"/>
                <w:lang w:val="es-ES" w:eastAsia="en-US"/>
              </w:rPr>
              <w:t xml:space="preserve"> Soc. Ladrillera Prisma S.A.S</w:t>
            </w:r>
          </w:p>
          <w:p w14:paraId="4C42DD1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Soc. Ladrillera Helios S.A.</w:t>
            </w:r>
          </w:p>
          <w:p w14:paraId="3C2789A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Soc. Ladrilleras </w:t>
            </w:r>
            <w:proofErr w:type="spellStart"/>
            <w:r>
              <w:rPr>
                <w:rFonts w:ascii="Times New Roman" w:eastAsia="Calibri" w:hAnsi="Times New Roman"/>
                <w:sz w:val="18"/>
                <w:szCs w:val="18"/>
                <w:lang w:val="es-ES" w:eastAsia="en-US"/>
              </w:rPr>
              <w:t>Yomasa</w:t>
            </w:r>
            <w:proofErr w:type="spellEnd"/>
            <w:r>
              <w:rPr>
                <w:rFonts w:ascii="Times New Roman" w:eastAsia="Calibri" w:hAnsi="Times New Roman"/>
                <w:sz w:val="18"/>
                <w:szCs w:val="18"/>
                <w:lang w:val="es-ES" w:eastAsia="en-US"/>
              </w:rPr>
              <w:t xml:space="preserve"> S.A.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3D79EA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3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Manejo Ambiental – PMA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11EE8394"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44 </w:t>
            </w:r>
            <w:proofErr w:type="gramStart"/>
            <w:r>
              <w:rPr>
                <w:rFonts w:ascii="Times New Roman" w:eastAsia="Calibri" w:hAnsi="Times New Roman"/>
                <w:sz w:val="18"/>
                <w:szCs w:val="18"/>
                <w:lang w:val="es-ES" w:eastAsia="en-US"/>
              </w:rPr>
              <w:t>Predios</w:t>
            </w:r>
            <w:proofErr w:type="gramEnd"/>
          </w:p>
        </w:tc>
      </w:tr>
      <w:tr w:rsidR="009E632D" w14:paraId="5EA5B41B"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B20FFD7" w14:textId="77777777" w:rsidR="009E632D" w:rsidRDefault="009E632D">
            <w:pPr>
              <w:spacing w:line="256" w:lineRule="auto"/>
              <w:rPr>
                <w:rFonts w:ascii="Times New Roman" w:eastAsia="Calibri" w:hAnsi="Times New Roman"/>
                <w:b/>
                <w:sz w:val="18"/>
                <w:szCs w:val="18"/>
                <w:lang w:val="es-ES" w:eastAsia="en-US"/>
              </w:rPr>
            </w:pPr>
            <w:r>
              <w:rPr>
                <w:rFonts w:ascii="Times New Roman" w:eastAsia="Calibri" w:hAnsi="Times New Roman"/>
                <w:b/>
                <w:i/>
                <w:iCs/>
                <w:sz w:val="18"/>
                <w:szCs w:val="18"/>
                <w:lang w:val="es-ES" w:eastAsia="en-US"/>
              </w:rPr>
              <w:t>4.</w:t>
            </w:r>
            <w:r>
              <w:rPr>
                <w:rFonts w:ascii="Times New Roman" w:eastAsia="Calibri" w:hAnsi="Times New Roman"/>
                <w:sz w:val="18"/>
                <w:szCs w:val="18"/>
                <w:lang w:val="es-ES" w:eastAsia="en-US"/>
              </w:rPr>
              <w:t xml:space="preserve"> Predio Julia Alicia Gómez de Franco – Cantera </w:t>
            </w:r>
            <w:proofErr w:type="spellStart"/>
            <w:r>
              <w:rPr>
                <w:rFonts w:ascii="Times New Roman" w:eastAsia="Calibri" w:hAnsi="Times New Roman"/>
                <w:sz w:val="18"/>
                <w:szCs w:val="18"/>
                <w:lang w:val="es-ES" w:eastAsia="en-US"/>
              </w:rPr>
              <w:t>Recebera</w:t>
            </w:r>
            <w:proofErr w:type="spellEnd"/>
            <w:r>
              <w:rPr>
                <w:rFonts w:ascii="Times New Roman" w:eastAsia="Calibri" w:hAnsi="Times New Roman"/>
                <w:sz w:val="18"/>
                <w:szCs w:val="18"/>
                <w:lang w:val="es-ES" w:eastAsia="en-US"/>
              </w:rPr>
              <w:t xml:space="preserve"> Cerro Colorado.</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0C038166"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w:t>
            </w:r>
            <w:proofErr w:type="gramStart"/>
            <w:r>
              <w:rPr>
                <w:rFonts w:ascii="Times New Roman" w:eastAsia="Calibri" w:hAnsi="Times New Roman"/>
                <w:sz w:val="18"/>
                <w:szCs w:val="18"/>
                <w:lang w:val="es-ES" w:eastAsia="en-US"/>
              </w:rPr>
              <w:t>Licencia</w:t>
            </w:r>
            <w:proofErr w:type="gramEnd"/>
            <w:r>
              <w:rPr>
                <w:rFonts w:ascii="Times New Roman" w:eastAsia="Calibri" w:hAnsi="Times New Roman"/>
                <w:sz w:val="18"/>
                <w:szCs w:val="18"/>
                <w:lang w:val="es-ES" w:eastAsia="en-US"/>
              </w:rPr>
              <w:t xml:space="preserve"> Ambiental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7D28F"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1C4DA316" w14:textId="77777777" w:rsidTr="00884D51">
        <w:trPr>
          <w:gridAfter w:val="1"/>
          <w:wAfter w:w="13" w:type="dxa"/>
          <w:trHeight w:val="1261"/>
          <w:jc w:val="center"/>
        </w:trPr>
        <w:tc>
          <w:tcPr>
            <w:tcW w:w="3923" w:type="dxa"/>
            <w:tcBorders>
              <w:top w:val="single" w:sz="4" w:space="0" w:color="000000"/>
              <w:left w:val="single" w:sz="4" w:space="0" w:color="000000"/>
              <w:bottom w:val="single" w:sz="4" w:space="0" w:color="000000"/>
              <w:right w:val="single" w:sz="4" w:space="0" w:color="000000"/>
            </w:tcBorders>
            <w:hideMark/>
          </w:tcPr>
          <w:p w14:paraId="15FB48E7"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5.</w:t>
            </w:r>
            <w:r>
              <w:rPr>
                <w:rFonts w:ascii="Times New Roman" w:eastAsia="Calibri" w:hAnsi="Times New Roman"/>
                <w:b/>
                <w:sz w:val="18"/>
                <w:szCs w:val="18"/>
                <w:lang w:val="es-ES" w:eastAsia="en-US"/>
              </w:rPr>
              <w:t xml:space="preserve"> </w:t>
            </w:r>
            <w:r>
              <w:rPr>
                <w:rFonts w:ascii="Times New Roman" w:eastAsia="Calibri" w:hAnsi="Times New Roman"/>
                <w:bCs/>
                <w:sz w:val="18"/>
                <w:szCs w:val="18"/>
                <w:lang w:val="es-ES" w:eastAsia="en-US"/>
              </w:rPr>
              <w:t>Central de Mezclas S.A. y Cemex Colombia S.A</w:t>
            </w:r>
          </w:p>
          <w:p w14:paraId="64287845"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6.</w:t>
            </w:r>
            <w:r>
              <w:rPr>
                <w:rFonts w:ascii="Times New Roman" w:eastAsia="Calibri" w:hAnsi="Times New Roman"/>
                <w:bCs/>
                <w:sz w:val="18"/>
                <w:szCs w:val="18"/>
                <w:lang w:val="es-ES" w:eastAsia="en-US"/>
              </w:rPr>
              <w:t xml:space="preserve"> Cantera El Cedro San Carlos</w:t>
            </w:r>
          </w:p>
          <w:p w14:paraId="7F9ACB4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7.</w:t>
            </w:r>
            <w:r>
              <w:rPr>
                <w:rFonts w:ascii="Times New Roman" w:eastAsia="Calibri" w:hAnsi="Times New Roman"/>
                <w:sz w:val="18"/>
                <w:szCs w:val="18"/>
                <w:lang w:val="es-ES" w:eastAsia="en-US"/>
              </w:rPr>
              <w:t xml:space="preserve"> Cantera La Laja</w:t>
            </w:r>
          </w:p>
          <w:p w14:paraId="707639D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El Milagro</w:t>
            </w:r>
          </w:p>
          <w:p w14:paraId="0294CFA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Cerro E Ibiza</w:t>
            </w:r>
          </w:p>
          <w:p w14:paraId="21F02E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Predio Cantarrana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16324B9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6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Manejo, Restauración y Recuperación Ambiental – PMRRA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89D218"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2734DC19" w14:textId="77777777" w:rsidTr="00884D51">
        <w:trPr>
          <w:gridAfter w:val="1"/>
          <w:wAfter w:w="13" w:type="dxa"/>
          <w:trHeight w:val="1043"/>
          <w:jc w:val="center"/>
        </w:trPr>
        <w:tc>
          <w:tcPr>
            <w:tcW w:w="3923" w:type="dxa"/>
            <w:tcBorders>
              <w:top w:val="single" w:sz="4" w:space="0" w:color="000000"/>
              <w:left w:val="single" w:sz="4" w:space="0" w:color="000000"/>
              <w:bottom w:val="single" w:sz="4" w:space="0" w:color="000000"/>
              <w:right w:val="single" w:sz="4" w:space="0" w:color="000000"/>
            </w:tcBorders>
            <w:hideMark/>
          </w:tcPr>
          <w:p w14:paraId="69763797"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lastRenderedPageBreak/>
              <w:t>11.</w:t>
            </w:r>
            <w:r>
              <w:rPr>
                <w:rFonts w:ascii="Times New Roman" w:eastAsia="Calibri" w:hAnsi="Times New Roman"/>
                <w:sz w:val="18"/>
                <w:szCs w:val="18"/>
                <w:lang w:val="es-ES" w:eastAsia="en-US"/>
              </w:rPr>
              <w:t xml:space="preserve"> Chircal Hermanos Ortiz Pardo- Constructora Bolívar S.A.</w:t>
            </w:r>
          </w:p>
          <w:p w14:paraId="773F895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sz w:val="18"/>
                <w:szCs w:val="18"/>
                <w:lang w:val="es-ES" w:eastAsia="en-US"/>
              </w:rPr>
              <w:t>12.</w:t>
            </w:r>
            <w:r>
              <w:rPr>
                <w:rFonts w:ascii="Times New Roman" w:eastAsia="Calibri" w:hAnsi="Times New Roman"/>
                <w:sz w:val="18"/>
                <w:szCs w:val="18"/>
                <w:lang w:val="es-ES" w:eastAsia="en-US"/>
              </w:rPr>
              <w:t xml:space="preserve"> Chircal María </w:t>
            </w:r>
            <w:proofErr w:type="spellStart"/>
            <w:r>
              <w:rPr>
                <w:rFonts w:ascii="Times New Roman" w:eastAsia="Calibri" w:hAnsi="Times New Roman"/>
                <w:sz w:val="18"/>
                <w:szCs w:val="18"/>
                <w:lang w:val="es-ES" w:eastAsia="en-US"/>
              </w:rPr>
              <w:t>Munevar</w:t>
            </w:r>
            <w:proofErr w:type="spellEnd"/>
            <w:r>
              <w:rPr>
                <w:rFonts w:ascii="Times New Roman" w:eastAsia="Calibri" w:hAnsi="Times New Roman"/>
                <w:sz w:val="18"/>
                <w:szCs w:val="18"/>
                <w:lang w:val="es-ES" w:eastAsia="en-US"/>
              </w:rPr>
              <w:t>- IDRD</w:t>
            </w:r>
          </w:p>
          <w:p w14:paraId="5B841D7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13.</w:t>
            </w:r>
            <w:r>
              <w:rPr>
                <w:rFonts w:ascii="Times New Roman" w:eastAsia="Calibri" w:hAnsi="Times New Roman"/>
                <w:sz w:val="18"/>
                <w:szCs w:val="18"/>
                <w:lang w:val="es-ES" w:eastAsia="en-US"/>
              </w:rPr>
              <w:t xml:space="preserve"> Predio Yerbabuena – UAESP</w:t>
            </w:r>
          </w:p>
          <w:p w14:paraId="766ABEFB"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14.</w:t>
            </w:r>
            <w:r>
              <w:rPr>
                <w:rFonts w:ascii="Times New Roman" w:eastAsia="Calibri" w:hAnsi="Times New Roman"/>
                <w:sz w:val="18"/>
                <w:szCs w:val="18"/>
                <w:lang w:val="es-ES" w:eastAsia="en-US"/>
              </w:rPr>
              <w:t xml:space="preserve"> Ladrillera El </w:t>
            </w:r>
            <w:proofErr w:type="spellStart"/>
            <w:r>
              <w:rPr>
                <w:rFonts w:ascii="Times New Roman" w:eastAsia="Calibri" w:hAnsi="Times New Roman"/>
                <w:sz w:val="18"/>
                <w:szCs w:val="18"/>
                <w:lang w:val="es-ES" w:eastAsia="en-US"/>
              </w:rPr>
              <w:t>Rogal</w:t>
            </w:r>
            <w:proofErr w:type="spellEnd"/>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82DAD33"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4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Restauración y Recuperación –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5A6DD9"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70C52757" w14:textId="77777777" w:rsidTr="00884D51">
        <w:trPr>
          <w:trHeight w:val="27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31EC82C0"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eastAsia="en-US"/>
              </w:rPr>
              <w:t>Subtotal: 14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5960C72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44 predios con instrumentos ambientales</w:t>
            </w:r>
          </w:p>
        </w:tc>
      </w:tr>
      <w:tr w:rsidR="009E632D" w14:paraId="537468DA"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56831E54" w14:textId="77777777" w:rsidR="009E632D" w:rsidRDefault="009E632D">
            <w:pPr>
              <w:spacing w:line="256" w:lineRule="auto"/>
              <w:jc w:val="left"/>
              <w:rPr>
                <w:rFonts w:ascii="Times New Roman" w:eastAsia="Calibri" w:hAnsi="Times New Roman"/>
                <w:sz w:val="18"/>
                <w:szCs w:val="18"/>
                <w:lang w:val="es-ES" w:eastAsia="en-US"/>
              </w:rPr>
            </w:pPr>
            <w:r>
              <w:rPr>
                <w:rFonts w:ascii="Times New Roman" w:eastAsia="Calibri" w:hAnsi="Times New Roman"/>
                <w:i/>
                <w:iCs/>
                <w:sz w:val="18"/>
                <w:szCs w:val="18"/>
                <w:lang w:val="es-ES" w:eastAsia="en-US"/>
              </w:rPr>
              <w:t>1.</w:t>
            </w:r>
            <w:r>
              <w:rPr>
                <w:rFonts w:ascii="Times New Roman" w:eastAsia="Calibri" w:hAnsi="Times New Roman"/>
                <w:sz w:val="18"/>
                <w:szCs w:val="18"/>
                <w:lang w:val="es-ES" w:eastAsia="en-US"/>
              </w:rPr>
              <w:t xml:space="preserve"> Soc. Ladrillera Zigurat S.A.S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F2F61BD"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w:t>
            </w:r>
            <w:proofErr w:type="gramStart"/>
            <w:r>
              <w:rPr>
                <w:rFonts w:ascii="Times New Roman" w:eastAsia="Calibri" w:hAnsi="Times New Roman"/>
                <w:sz w:val="18"/>
                <w:szCs w:val="18"/>
                <w:lang w:val="es-ES" w:eastAsia="en-US"/>
              </w:rPr>
              <w:t>En</w:t>
            </w:r>
            <w:proofErr w:type="gramEnd"/>
            <w:r>
              <w:rPr>
                <w:rFonts w:ascii="Times New Roman" w:eastAsia="Calibri" w:hAnsi="Times New Roman"/>
                <w:sz w:val="18"/>
                <w:szCs w:val="18"/>
                <w:lang w:val="es-ES" w:eastAsia="en-US"/>
              </w:rPr>
              <w:t xml:space="preserve"> controversia jurídica el instrumento ambiental (PMA o PMRRA)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57C59F1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174 </w:t>
            </w:r>
            <w:proofErr w:type="gramStart"/>
            <w:r>
              <w:rPr>
                <w:rFonts w:ascii="Times New Roman" w:eastAsia="Calibri" w:hAnsi="Times New Roman"/>
                <w:sz w:val="18"/>
                <w:szCs w:val="18"/>
                <w:lang w:val="es-ES" w:eastAsia="en-US"/>
              </w:rPr>
              <w:t>Predios</w:t>
            </w:r>
            <w:proofErr w:type="gramEnd"/>
          </w:p>
        </w:tc>
      </w:tr>
      <w:tr w:rsidR="009E632D" w14:paraId="0E90EFED"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hideMark/>
          </w:tcPr>
          <w:p w14:paraId="33E761F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Predio Alberto Quiroga y otro – Industrias Gres Qui Ltda.</w:t>
            </w:r>
          </w:p>
          <w:p w14:paraId="4EA51FD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Incegrap</w:t>
            </w:r>
            <w:proofErr w:type="spellEnd"/>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Ltda</w:t>
            </w:r>
            <w:proofErr w:type="spellEnd"/>
            <w:r>
              <w:rPr>
                <w:rFonts w:ascii="Times New Roman" w:eastAsia="Calibri" w:hAnsi="Times New Roman"/>
                <w:sz w:val="18"/>
                <w:szCs w:val="18"/>
                <w:lang w:val="es-ES" w:eastAsia="en-US"/>
              </w:rPr>
              <w:t xml:space="preserve"> en liquidación</w:t>
            </w:r>
          </w:p>
          <w:p w14:paraId="2FC415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w:t>
            </w:r>
            <w:r>
              <w:rPr>
                <w:rFonts w:ascii="Times New Roman" w:eastAsia="Calibri" w:hAnsi="Times New Roman"/>
                <w:sz w:val="18"/>
                <w:szCs w:val="18"/>
                <w:lang w:val="es-ES" w:eastAsia="en-US"/>
              </w:rPr>
              <w:t xml:space="preserve"> Industria El Tabor Ltda. en liquidación.</w:t>
            </w:r>
          </w:p>
          <w:p w14:paraId="10772D5A"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5.</w:t>
            </w:r>
            <w:r>
              <w:rPr>
                <w:rFonts w:ascii="Times New Roman" w:eastAsia="Calibri" w:hAnsi="Times New Roman"/>
                <w:sz w:val="18"/>
                <w:szCs w:val="18"/>
                <w:lang w:val="es-ES" w:eastAsia="en-US"/>
              </w:rPr>
              <w:t xml:space="preserve"> Inversiones </w:t>
            </w:r>
            <w:proofErr w:type="spellStart"/>
            <w:r>
              <w:rPr>
                <w:rFonts w:ascii="Times New Roman" w:eastAsia="Calibri" w:hAnsi="Times New Roman"/>
                <w:sz w:val="18"/>
                <w:szCs w:val="18"/>
                <w:lang w:val="es-ES" w:eastAsia="en-US"/>
              </w:rPr>
              <w:t>Colcerama</w:t>
            </w:r>
            <w:proofErr w:type="spellEnd"/>
            <w:r>
              <w:rPr>
                <w:rFonts w:ascii="Times New Roman" w:eastAsia="Calibri" w:hAnsi="Times New Roman"/>
                <w:sz w:val="18"/>
                <w:szCs w:val="18"/>
                <w:lang w:val="es-ES" w:eastAsia="en-US"/>
              </w:rPr>
              <w:t xml:space="preserve"> Ltda.</w:t>
            </w:r>
          </w:p>
          <w:p w14:paraId="471389F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6.</w:t>
            </w:r>
            <w:r>
              <w:rPr>
                <w:rFonts w:ascii="Times New Roman" w:eastAsia="Calibri" w:hAnsi="Times New Roman"/>
                <w:sz w:val="18"/>
                <w:szCs w:val="18"/>
                <w:lang w:val="es-ES" w:eastAsia="en-US"/>
              </w:rPr>
              <w:t xml:space="preserve"> SP Inmobiliaria S.A.S. – Predio Aires de Palermo</w:t>
            </w:r>
          </w:p>
          <w:p w14:paraId="53A1CD3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 xml:space="preserve">7. </w:t>
            </w:r>
            <w:r>
              <w:rPr>
                <w:rFonts w:ascii="Times New Roman" w:eastAsia="Calibri" w:hAnsi="Times New Roman"/>
                <w:sz w:val="18"/>
                <w:szCs w:val="18"/>
                <w:lang w:val="es-ES" w:eastAsia="en-US"/>
              </w:rPr>
              <w:t>IS. Constructora – Predio Darío Castiblanco – Cantera La Joya.</w:t>
            </w:r>
          </w:p>
          <w:p w14:paraId="014B4939"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Juan de Jesús Borda.</w:t>
            </w:r>
          </w:p>
          <w:p w14:paraId="4044BBB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El Porvenir.</w:t>
            </w:r>
          </w:p>
          <w:p w14:paraId="27E140AE"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Cantera La Quebrada.</w:t>
            </w:r>
          </w:p>
          <w:p w14:paraId="077B2E2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Predio Equipos Universal S.A. Sucursal.</w:t>
            </w:r>
          </w:p>
          <w:p w14:paraId="1BA73B75"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12.</w:t>
            </w:r>
            <w:r>
              <w:rPr>
                <w:rFonts w:ascii="Times New Roman" w:eastAsia="Calibri" w:hAnsi="Times New Roman"/>
                <w:sz w:val="18"/>
                <w:szCs w:val="18"/>
                <w:lang w:val="es-ES" w:eastAsia="en-US"/>
              </w:rPr>
              <w:t xml:space="preserve"> Ladrillera </w:t>
            </w:r>
            <w:proofErr w:type="spellStart"/>
            <w:r>
              <w:rPr>
                <w:rFonts w:ascii="Times New Roman" w:eastAsia="Calibri" w:hAnsi="Times New Roman"/>
                <w:sz w:val="18"/>
                <w:szCs w:val="18"/>
                <w:lang w:val="es-ES" w:eastAsia="en-US"/>
              </w:rPr>
              <w:t>Framar</w:t>
            </w:r>
            <w:proofErr w:type="spellEnd"/>
            <w:r>
              <w:rPr>
                <w:rFonts w:ascii="Times New Roman" w:eastAsia="Calibri" w:hAnsi="Times New Roman"/>
                <w:sz w:val="18"/>
                <w:szCs w:val="18"/>
                <w:lang w:val="es-ES" w:eastAsia="en-US"/>
              </w:rPr>
              <w:t xml:space="preserve"> Ltda.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9A0B970"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11 PMRRA y PRR en evaluación técnica y jurídica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6F7E6"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411C5FF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951018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eastAsia="en-US"/>
              </w:rPr>
              <w:t>76</w:t>
            </w:r>
            <w:r>
              <w:rPr>
                <w:rFonts w:ascii="Times New Roman" w:eastAsia="Calibri" w:hAnsi="Times New Roman"/>
                <w:sz w:val="18"/>
                <w:szCs w:val="18"/>
                <w:lang w:eastAsia="en-US"/>
              </w:rPr>
              <w:t xml:space="preserve"> U</w:t>
            </w:r>
            <w:r>
              <w:rPr>
                <w:rFonts w:ascii="Times New Roman" w:eastAsia="Calibri" w:hAnsi="Times New Roman"/>
                <w:sz w:val="18"/>
                <w:szCs w:val="18"/>
                <w:lang w:val="es-ES" w:eastAsia="en-US"/>
              </w:rPr>
              <w:t xml:space="preserve">usuarios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63B3AAB9"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76 </w:t>
            </w:r>
            <w:proofErr w:type="gramStart"/>
            <w:r>
              <w:rPr>
                <w:rFonts w:ascii="Times New Roman" w:eastAsia="Calibri" w:hAnsi="Times New Roman"/>
                <w:sz w:val="18"/>
                <w:szCs w:val="18"/>
                <w:lang w:val="es-ES" w:eastAsia="en-US"/>
              </w:rPr>
              <w:t>Con</w:t>
            </w:r>
            <w:proofErr w:type="gramEnd"/>
            <w:r>
              <w:rPr>
                <w:rFonts w:ascii="Times New Roman" w:eastAsia="Calibri" w:hAnsi="Times New Roman"/>
                <w:sz w:val="18"/>
                <w:szCs w:val="18"/>
                <w:lang w:val="es-ES" w:eastAsia="en-US"/>
              </w:rPr>
              <w:t xml:space="preserv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95485"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D42BCB6"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78994A22" w14:textId="77777777" w:rsidR="009E632D" w:rsidRDefault="009E632D">
            <w:pPr>
              <w:spacing w:line="256" w:lineRule="auto"/>
              <w:rPr>
                <w:rFonts w:ascii="Times New Roman" w:eastAsia="Calibri" w:hAnsi="Times New Roman"/>
                <w:sz w:val="18"/>
                <w:szCs w:val="18"/>
                <w:lang w:eastAsia="en-US"/>
              </w:rPr>
            </w:pPr>
            <w:r>
              <w:rPr>
                <w:rFonts w:ascii="Times New Roman" w:eastAsia="Calibri" w:hAnsi="Times New Roman"/>
                <w:b/>
                <w:bCs/>
                <w:i/>
                <w:iCs/>
                <w:sz w:val="18"/>
                <w:szCs w:val="18"/>
                <w:lang w:eastAsia="en-US"/>
              </w:rPr>
              <w:t>6</w:t>
            </w:r>
            <w:r>
              <w:rPr>
                <w:rFonts w:ascii="Times New Roman" w:eastAsia="Calibri" w:hAnsi="Times New Roman"/>
                <w:sz w:val="18"/>
                <w:szCs w:val="18"/>
                <w:lang w:eastAsia="en-US"/>
              </w:rPr>
              <w:t xml:space="preserve"> </w:t>
            </w:r>
            <w:proofErr w:type="gramStart"/>
            <w:r>
              <w:rPr>
                <w:rFonts w:ascii="Times New Roman" w:eastAsia="Calibri" w:hAnsi="Times New Roman"/>
                <w:sz w:val="18"/>
                <w:szCs w:val="18"/>
                <w:lang w:eastAsia="en-US"/>
              </w:rPr>
              <w:t>Usuarios</w:t>
            </w:r>
            <w:proofErr w:type="gramEnd"/>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2BBDF34A"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6 </w:t>
            </w:r>
            <w:proofErr w:type="gramStart"/>
            <w:r>
              <w:rPr>
                <w:rFonts w:ascii="Times New Roman" w:eastAsia="Calibri" w:hAnsi="Times New Roman"/>
                <w:sz w:val="18"/>
                <w:szCs w:val="18"/>
                <w:lang w:val="es-ES" w:eastAsia="en-US"/>
              </w:rPr>
              <w:t>Pendientes</w:t>
            </w:r>
            <w:proofErr w:type="gramEnd"/>
            <w:r>
              <w:rPr>
                <w:rFonts w:ascii="Times New Roman" w:eastAsia="Calibri" w:hAnsi="Times New Roman"/>
                <w:sz w:val="18"/>
                <w:szCs w:val="18"/>
                <w:lang w:val="es-ES" w:eastAsia="en-US"/>
              </w:rPr>
              <w:t xml:space="preserve"> de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2B17F4"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9438747" w14:textId="77777777" w:rsidTr="00884D51">
        <w:trPr>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44E807C" w14:textId="77777777" w:rsidR="009E632D" w:rsidRDefault="009E632D">
            <w:pPr>
              <w:spacing w:line="256" w:lineRule="auto"/>
              <w:jc w:val="center"/>
              <w:rPr>
                <w:rFonts w:ascii="Times New Roman" w:eastAsia="Calibri" w:hAnsi="Times New Roman"/>
                <w:b/>
                <w:bCs/>
                <w:i/>
                <w:iCs/>
                <w:sz w:val="18"/>
                <w:szCs w:val="18"/>
                <w:lang w:eastAsia="en-US"/>
              </w:rPr>
            </w:pPr>
            <w:bookmarkStart w:id="8" w:name="_Hlk40597871"/>
            <w:r>
              <w:rPr>
                <w:rFonts w:ascii="Times New Roman" w:eastAsia="Calibri" w:hAnsi="Times New Roman"/>
                <w:b/>
                <w:bCs/>
                <w:i/>
                <w:iCs/>
                <w:sz w:val="18"/>
                <w:szCs w:val="18"/>
                <w:lang w:eastAsia="en-US"/>
              </w:rPr>
              <w:t>Subtotal: 94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32A4043E"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174 predios sin instrumentos ambientales</w:t>
            </w:r>
          </w:p>
        </w:tc>
        <w:bookmarkEnd w:id="8"/>
      </w:tr>
      <w:tr w:rsidR="009E632D" w14:paraId="64376F2F" w14:textId="77777777" w:rsidTr="00884D51">
        <w:trPr>
          <w:trHeight w:val="326"/>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EA996F2" w14:textId="77777777" w:rsidR="009E632D" w:rsidRDefault="009E632D">
            <w:pPr>
              <w:spacing w:line="256" w:lineRule="auto"/>
              <w:jc w:val="center"/>
              <w:rPr>
                <w:rFonts w:ascii="Times New Roman" w:eastAsia="Calibri" w:hAnsi="Times New Roman"/>
                <w:b/>
                <w:bCs/>
                <w:i/>
                <w:iCs/>
                <w:sz w:val="18"/>
                <w:szCs w:val="18"/>
                <w:lang w:eastAsia="en-US"/>
              </w:rPr>
            </w:pPr>
            <w:r>
              <w:rPr>
                <w:rFonts w:ascii="Times New Roman" w:eastAsia="Calibri" w:hAnsi="Times New Roman"/>
                <w:b/>
                <w:bCs/>
                <w:i/>
                <w:iCs/>
                <w:sz w:val="18"/>
                <w:szCs w:val="18"/>
                <w:lang w:eastAsia="en-US"/>
              </w:rPr>
              <w:t>Total: 108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1B1087D3"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 xml:space="preserve">218 </w:t>
            </w:r>
            <w:proofErr w:type="gramStart"/>
            <w:r>
              <w:rPr>
                <w:rFonts w:ascii="Times New Roman" w:eastAsia="Calibri" w:hAnsi="Times New Roman"/>
                <w:b/>
                <w:bCs/>
                <w:i/>
                <w:iCs/>
                <w:sz w:val="18"/>
                <w:szCs w:val="18"/>
                <w:lang w:val="es-ES" w:eastAsia="en-US"/>
              </w:rPr>
              <w:t>Predios</w:t>
            </w:r>
            <w:proofErr w:type="gramEnd"/>
          </w:p>
        </w:tc>
      </w:tr>
    </w:tbl>
    <w:p w14:paraId="3DB14D7E" w14:textId="77777777" w:rsidR="009E632D" w:rsidRDefault="009E632D" w:rsidP="009E632D">
      <w:pPr>
        <w:pStyle w:val="Prrafodelista"/>
        <w:ind w:left="426"/>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55F6B86F" w14:textId="77777777" w:rsidR="009E632D" w:rsidRDefault="009E632D" w:rsidP="009E632D">
      <w:pPr>
        <w:ind w:left="705"/>
        <w:contextualSpacing/>
        <w:jc w:val="left"/>
        <w:rPr>
          <w:rFonts w:ascii="Times New Roman" w:hAnsi="Times New Roman"/>
          <w:szCs w:val="24"/>
          <w:lang w:eastAsia="es-CO"/>
        </w:rPr>
      </w:pPr>
    </w:p>
    <w:p w14:paraId="750E561C" w14:textId="77777777" w:rsidR="009E632D" w:rsidRDefault="009E632D" w:rsidP="009E632D">
      <w:pPr>
        <w:ind w:left="705"/>
        <w:contextualSpacing/>
        <w:jc w:val="left"/>
        <w:rPr>
          <w:rFonts w:ascii="Times New Roman" w:hAnsi="Times New Roman"/>
          <w:szCs w:val="24"/>
          <w:lang w:eastAsia="es-CO"/>
        </w:rPr>
      </w:pPr>
      <w:r>
        <w:rPr>
          <w:rFonts w:ascii="Times New Roman" w:hAnsi="Times New Roman"/>
          <w:szCs w:val="24"/>
          <w:lang w:eastAsia="es-CO"/>
        </w:rPr>
        <w:t>Para la ejecución de las actividades de evaluación, control y seguimiento, el grupo de minería se vale del siguiente marco normativo:</w:t>
      </w:r>
    </w:p>
    <w:p w14:paraId="420A5D91" w14:textId="77777777" w:rsidR="009E632D" w:rsidRDefault="009E632D" w:rsidP="009E632D">
      <w:pPr>
        <w:ind w:left="705"/>
        <w:contextualSpacing/>
        <w:jc w:val="left"/>
        <w:rPr>
          <w:rFonts w:ascii="Times New Roman" w:hAnsi="Times New Roman"/>
          <w:szCs w:val="24"/>
          <w:lang w:eastAsia="es-CO"/>
        </w:rPr>
      </w:pPr>
    </w:p>
    <w:p w14:paraId="22B46502" w14:textId="77777777" w:rsidR="009E632D" w:rsidRDefault="009E632D" w:rsidP="009E632D">
      <w:pPr>
        <w:widowControl w:val="0"/>
        <w:numPr>
          <w:ilvl w:val="0"/>
          <w:numId w:val="29"/>
        </w:numPr>
        <w:autoSpaceDE w:val="0"/>
        <w:autoSpaceDN w:val="0"/>
        <w:rPr>
          <w:rFonts w:ascii="Times New Roman" w:hAnsi="Times New Roman"/>
          <w:i/>
          <w:lang w:eastAsia="es-CO"/>
        </w:rPr>
      </w:pPr>
      <w:r>
        <w:rPr>
          <w:rFonts w:ascii="Times New Roman" w:hAnsi="Times New Roman"/>
          <w:u w:val="single"/>
          <w:lang w:eastAsia="es-CO"/>
        </w:rPr>
        <w:t>Ley 685 de 2001.</w:t>
      </w:r>
      <w:r>
        <w:rPr>
          <w:rFonts w:ascii="Times New Roman" w:hAnsi="Times New Roman"/>
          <w:lang w:eastAsia="es-CO"/>
        </w:rPr>
        <w:t xml:space="preserve"> Por la cual se expide el Código de Minas y se dictan otras disposiciones.</w:t>
      </w:r>
    </w:p>
    <w:p w14:paraId="2B79CA95" w14:textId="1070989F" w:rsidR="009E632D" w:rsidRDefault="009E632D" w:rsidP="00527722">
      <w:pPr>
        <w:widowControl w:val="0"/>
        <w:autoSpaceDE w:val="0"/>
        <w:autoSpaceDN w:val="0"/>
        <w:ind w:left="644"/>
        <w:rPr>
          <w:rFonts w:ascii="Times New Roman" w:hAnsi="Times New Roman"/>
          <w:lang w:eastAsia="es-CO"/>
        </w:rPr>
      </w:pPr>
      <w:r>
        <w:rPr>
          <w:rFonts w:ascii="Times New Roman" w:hAnsi="Times New Roman"/>
          <w:lang w:eastAsia="es-CO"/>
        </w:rPr>
        <w:t xml:space="preserve"> </w:t>
      </w:r>
      <w:r>
        <w:rPr>
          <w:rFonts w:ascii="Times New Roman" w:hAnsi="Times New Roman"/>
        </w:rPr>
        <w:t>El artículo 61 de la Ley 99 de 1993: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Ministerio de Ambiente.</w:t>
      </w:r>
    </w:p>
    <w:p w14:paraId="7A5D8387" w14:textId="77777777" w:rsidR="009E632D" w:rsidRDefault="009E632D" w:rsidP="009E632D">
      <w:pPr>
        <w:widowControl w:val="0"/>
        <w:autoSpaceDE w:val="0"/>
        <w:autoSpaceDN w:val="0"/>
        <w:ind w:left="644"/>
        <w:rPr>
          <w:rFonts w:ascii="Times New Roman" w:hAnsi="Times New Roman"/>
          <w:lang w:eastAsia="es-CO"/>
        </w:rPr>
      </w:pPr>
    </w:p>
    <w:p w14:paraId="708BC43B" w14:textId="77777777" w:rsidR="009E632D" w:rsidRDefault="009E632D" w:rsidP="009E632D">
      <w:pPr>
        <w:pStyle w:val="Prrafodelista"/>
        <w:widowControl w:val="0"/>
        <w:numPr>
          <w:ilvl w:val="0"/>
          <w:numId w:val="25"/>
        </w:numPr>
        <w:autoSpaceDE w:val="0"/>
        <w:autoSpaceDN w:val="0"/>
        <w:contextualSpacing/>
        <w:rPr>
          <w:rFonts w:ascii="Times New Roman" w:hAnsi="Times New Roman"/>
          <w:color w:val="000000" w:themeColor="text1"/>
        </w:rPr>
      </w:pPr>
      <w:r>
        <w:rPr>
          <w:rFonts w:ascii="Times New Roman" w:hAnsi="Times New Roman"/>
          <w:u w:val="single"/>
        </w:rPr>
        <w:t>El Decreto Distrital 190 de 2004</w:t>
      </w:r>
      <w:r>
        <w:rPr>
          <w:rFonts w:ascii="Times New Roman" w:hAnsi="Times New Roman"/>
        </w:rPr>
        <w:t xml:space="preserve">; por medio del cual se compilan las disposiciones </w:t>
      </w:r>
      <w:r>
        <w:rPr>
          <w:rFonts w:ascii="Times New Roman" w:hAnsi="Times New Roman"/>
          <w:color w:val="000000" w:themeColor="text1"/>
        </w:rPr>
        <w:t>contenidas en los Decretos Distritales 619 de 2000 y 469 de 2003 – Plan de Ordenamiento Territorial – POT. Artículo 354. numeral 1 las áreas donde se encuentran las minas de materia prima, arcilla, arenas, recebos y en general los agregados pétreos, utilizados en la producción de materiales para la industria de la construcción. numeral 2 las áreas de suspensión de actividad minera: de recuperación morfológica, paisajista, ambiental y urbanística, de conformidad con los requerimientos de las autoridades ambientales y urbanísticas, para definir sus usos futuros</w:t>
      </w:r>
    </w:p>
    <w:p w14:paraId="3CF404BE" w14:textId="77777777" w:rsidR="009E632D" w:rsidRDefault="009E632D" w:rsidP="009E632D">
      <w:pPr>
        <w:widowControl w:val="0"/>
        <w:numPr>
          <w:ilvl w:val="0"/>
          <w:numId w:val="29"/>
        </w:numPr>
        <w:autoSpaceDE w:val="0"/>
        <w:autoSpaceDN w:val="0"/>
        <w:spacing w:after="28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2001 de 2016</w:t>
      </w:r>
      <w:r>
        <w:rPr>
          <w:rFonts w:ascii="Times New Roman" w:hAnsi="Times New Roman"/>
          <w:color w:val="000000" w:themeColor="text1"/>
        </w:rPr>
        <w:t xml:space="preserve">. Por la cual se determinan las zonas compatibles con las actividades mineras en la Sabana de Bogotá, y se adoptan otras determinaciones expedida </w:t>
      </w:r>
      <w:r>
        <w:rPr>
          <w:rFonts w:ascii="Times New Roman" w:hAnsi="Times New Roman"/>
          <w:color w:val="000000" w:themeColor="text1"/>
        </w:rPr>
        <w:lastRenderedPageBreak/>
        <w:t>por el Ministerio de Ambiente y Desarrollo Sostenible.</w:t>
      </w:r>
    </w:p>
    <w:p w14:paraId="7866C9DB" w14:textId="77777777" w:rsidR="009E632D" w:rsidRDefault="009E632D" w:rsidP="009E632D">
      <w:pPr>
        <w:widowControl w:val="0"/>
        <w:autoSpaceDE w:val="0"/>
        <w:autoSpaceDN w:val="0"/>
        <w:ind w:left="644"/>
        <w:contextualSpacing/>
        <w:rPr>
          <w:rFonts w:ascii="Times New Roman" w:hAnsi="Times New Roman"/>
          <w:color w:val="000000" w:themeColor="text1"/>
          <w:sz w:val="23"/>
          <w:szCs w:val="23"/>
          <w:lang w:eastAsia="es-CO" w:bidi="es-CO"/>
        </w:rPr>
      </w:pPr>
    </w:p>
    <w:p w14:paraId="1A5AD8C9" w14:textId="77777777" w:rsidR="009E632D" w:rsidRDefault="009E632D" w:rsidP="009E632D">
      <w:pPr>
        <w:widowControl w:val="0"/>
        <w:numPr>
          <w:ilvl w:val="0"/>
          <w:numId w:val="29"/>
        </w:numPr>
        <w:autoSpaceDE w:val="0"/>
        <w:autoSpaceDN w:val="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1499 de 2018</w:t>
      </w:r>
      <w:r>
        <w:rPr>
          <w:rFonts w:ascii="Times New Roman" w:hAnsi="Times New Roman"/>
          <w:color w:val="000000" w:themeColor="text1"/>
        </w:rPr>
        <w:t>. Por la cual se modifica la Resolución 2001 de 2016 a través de la cual se determinaron las zonas compatibles con las actividades mineras en la Sabana de Bogotá, y se adoptan otras determinaciones, expedida por el Ministerio de Ambiente y Desarrollo Sostenible.</w:t>
      </w:r>
    </w:p>
    <w:p w14:paraId="2A3B652C" w14:textId="77777777" w:rsidR="009E632D" w:rsidRDefault="009E632D" w:rsidP="009E632D">
      <w:pPr>
        <w:ind w:left="705"/>
        <w:contextualSpacing/>
        <w:jc w:val="left"/>
        <w:rPr>
          <w:rFonts w:ascii="Times New Roman" w:hAnsi="Times New Roman"/>
          <w:szCs w:val="24"/>
          <w:lang w:eastAsia="es-CO"/>
        </w:rPr>
      </w:pPr>
    </w:p>
    <w:p w14:paraId="43A50DC5" w14:textId="77777777" w:rsidR="009E632D" w:rsidRDefault="009E632D" w:rsidP="009E632D">
      <w:pPr>
        <w:pStyle w:val="Prrafodelista"/>
        <w:numPr>
          <w:ilvl w:val="0"/>
          <w:numId w:val="32"/>
        </w:numPr>
        <w:contextualSpacing/>
        <w:jc w:val="left"/>
        <w:rPr>
          <w:rFonts w:ascii="Times New Roman" w:hAnsi="Times New Roman"/>
          <w:szCs w:val="24"/>
          <w:lang w:eastAsia="es-CO"/>
        </w:rPr>
      </w:pPr>
      <w:r>
        <w:rPr>
          <w:rFonts w:ascii="Times New Roman" w:hAnsi="Times New Roman"/>
          <w:b/>
          <w:bCs/>
          <w:szCs w:val="24"/>
          <w:lang w:eastAsia="es-CO"/>
        </w:rPr>
        <w:t xml:space="preserve">Seguimiento a las intervenciones de remediación y recuperación del Suelo </w:t>
      </w:r>
    </w:p>
    <w:p w14:paraId="2E0E0EAB" w14:textId="77777777" w:rsidR="009E632D" w:rsidRDefault="009E632D" w:rsidP="009E632D">
      <w:pPr>
        <w:rPr>
          <w:rFonts w:ascii="Times New Roman" w:hAnsi="Times New Roman"/>
        </w:rPr>
      </w:pPr>
    </w:p>
    <w:p w14:paraId="6C557043" w14:textId="77777777" w:rsidR="009E632D" w:rsidRDefault="009E632D" w:rsidP="009E632D">
      <w:pPr>
        <w:ind w:left="708"/>
        <w:rPr>
          <w:rFonts w:ascii="Times New Roman" w:hAnsi="Times New Roman"/>
        </w:rPr>
      </w:pPr>
      <w:r>
        <w:rPr>
          <w:rFonts w:ascii="Times New Roman" w:hAnsi="Times New Roman"/>
        </w:rPr>
        <w:t xml:space="preserve">Adicional a lo mencionado en el contexto de los grupos, vale la pena resaltar que como parte de las actividades de remediación al </w:t>
      </w:r>
      <w:r>
        <w:rPr>
          <w:rFonts w:ascii="Times New Roman" w:hAnsi="Times New Roman"/>
          <w:lang w:val="es-ES"/>
        </w:rPr>
        <w:t>recurso suelo y agua subterránea (acuífero somero), así como de rehabilitación de suelo en zonas de actividad extractiva de materiales de construcción y arcilla, las cuales se han requerido en el marco de las acciones de control y vigilancia de la Secretaria Distrital de Ambiente, se observa la implementación de acciones de remediación, reconformación, recuperación y restauración en un total de 28 predios, para un total de 25,35 hectáreas intervenidas. La distribución anual de los datos se presenta en la siguiente tabla:</w:t>
      </w:r>
    </w:p>
    <w:p w14:paraId="24C0B8BF" w14:textId="7602CC81" w:rsidR="009E632D" w:rsidRDefault="009E632D" w:rsidP="009E632D">
      <w:pPr>
        <w:jc w:val="center"/>
        <w:rPr>
          <w:rFonts w:ascii="Times New Roman" w:hAnsi="Times New Roman"/>
          <w:b/>
        </w:rPr>
      </w:pPr>
    </w:p>
    <w:p w14:paraId="646C61EE" w14:textId="2CF5C50C" w:rsidR="00527722" w:rsidRDefault="00527722" w:rsidP="009E632D">
      <w:pPr>
        <w:jc w:val="center"/>
        <w:rPr>
          <w:rFonts w:ascii="Times New Roman" w:hAnsi="Times New Roman"/>
          <w:b/>
        </w:rPr>
      </w:pPr>
    </w:p>
    <w:p w14:paraId="6B95322D" w14:textId="77777777" w:rsidR="00527722" w:rsidRDefault="00527722" w:rsidP="009E632D">
      <w:pPr>
        <w:jc w:val="center"/>
        <w:rPr>
          <w:rFonts w:ascii="Times New Roman" w:hAnsi="Times New Roman"/>
          <w:b/>
        </w:rPr>
      </w:pPr>
    </w:p>
    <w:p w14:paraId="107C3B5A"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3. Resumen de verificación de áreas con seguimiento a remediación y recuperación del suelo del Distrito capital 2016 – 2020</w:t>
      </w:r>
    </w:p>
    <w:p w14:paraId="08FD9582" w14:textId="77777777" w:rsidR="009E632D" w:rsidRDefault="009E632D" w:rsidP="009E632D">
      <w:pPr>
        <w:ind w:left="360"/>
        <w:jc w:val="center"/>
        <w:rPr>
          <w:rFonts w:ascii="Times New Roman" w:hAnsi="Times New Roman"/>
          <w:sz w:val="22"/>
          <w:szCs w:val="22"/>
        </w:rPr>
      </w:pPr>
    </w:p>
    <w:tbl>
      <w:tblPr>
        <w:tblStyle w:val="Tablaconcuadrcula"/>
        <w:tblW w:w="0" w:type="auto"/>
        <w:jc w:val="center"/>
        <w:tblLook w:val="04A0" w:firstRow="1" w:lastRow="0" w:firstColumn="1" w:lastColumn="0" w:noHBand="0" w:noVBand="1"/>
      </w:tblPr>
      <w:tblGrid>
        <w:gridCol w:w="1838"/>
        <w:gridCol w:w="833"/>
        <w:gridCol w:w="791"/>
        <w:gridCol w:w="737"/>
        <w:gridCol w:w="737"/>
        <w:gridCol w:w="696"/>
        <w:gridCol w:w="1057"/>
      </w:tblGrid>
      <w:tr w:rsidR="009E632D" w14:paraId="7755332C"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35D5D58" w14:textId="77777777" w:rsidR="009E632D" w:rsidRDefault="009E632D">
            <w:pPr>
              <w:ind w:left="38"/>
              <w:jc w:val="center"/>
              <w:rPr>
                <w:rFonts w:ascii="Times New Roman" w:hAnsi="Times New Roman"/>
                <w:b/>
                <w:szCs w:val="24"/>
                <w:lang w:val="es-ES"/>
              </w:rPr>
            </w:pPr>
            <w:r>
              <w:rPr>
                <w:rFonts w:ascii="Times New Roman" w:hAnsi="Times New Roman"/>
                <w:b/>
                <w:szCs w:val="24"/>
                <w:lang w:val="es-ES"/>
              </w:rPr>
              <w:t>AÑO</w:t>
            </w:r>
          </w:p>
        </w:tc>
        <w:tc>
          <w:tcPr>
            <w:tcW w:w="8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D2A687" w14:textId="77777777" w:rsidR="009E632D" w:rsidRDefault="009E632D">
            <w:pPr>
              <w:jc w:val="center"/>
              <w:rPr>
                <w:rFonts w:ascii="Times New Roman" w:hAnsi="Times New Roman"/>
                <w:b/>
                <w:szCs w:val="24"/>
                <w:lang w:val="es-ES"/>
              </w:rPr>
            </w:pPr>
            <w:r>
              <w:rPr>
                <w:rFonts w:ascii="Times New Roman" w:hAnsi="Times New Roman"/>
                <w:b/>
                <w:szCs w:val="24"/>
                <w:lang w:val="es-ES"/>
              </w:rPr>
              <w:t>2016</w:t>
            </w:r>
          </w:p>
        </w:tc>
        <w:tc>
          <w:tcPr>
            <w:tcW w:w="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4B4D4E" w14:textId="77777777" w:rsidR="009E632D" w:rsidRDefault="009E632D">
            <w:pPr>
              <w:jc w:val="center"/>
              <w:rPr>
                <w:rFonts w:ascii="Times New Roman" w:hAnsi="Times New Roman"/>
                <w:b/>
                <w:szCs w:val="24"/>
                <w:lang w:val="es-ES"/>
              </w:rPr>
            </w:pPr>
            <w:r>
              <w:rPr>
                <w:rFonts w:ascii="Times New Roman" w:hAnsi="Times New Roman"/>
                <w:b/>
                <w:szCs w:val="24"/>
                <w:lang w:val="es-ES"/>
              </w:rPr>
              <w:t>2017</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E16F05" w14:textId="77777777" w:rsidR="009E632D" w:rsidRDefault="009E632D">
            <w:pPr>
              <w:jc w:val="center"/>
              <w:rPr>
                <w:rFonts w:ascii="Times New Roman" w:hAnsi="Times New Roman"/>
                <w:b/>
                <w:szCs w:val="24"/>
                <w:lang w:val="es-ES"/>
              </w:rPr>
            </w:pPr>
            <w:r>
              <w:rPr>
                <w:rFonts w:ascii="Times New Roman" w:hAnsi="Times New Roman"/>
                <w:b/>
                <w:szCs w:val="24"/>
                <w:lang w:val="es-ES"/>
              </w:rPr>
              <w:t>2018</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CE9CF" w14:textId="77777777" w:rsidR="009E632D" w:rsidRDefault="009E632D">
            <w:pPr>
              <w:jc w:val="center"/>
              <w:rPr>
                <w:rFonts w:ascii="Times New Roman" w:hAnsi="Times New Roman"/>
                <w:b/>
                <w:szCs w:val="24"/>
                <w:lang w:val="es-ES"/>
              </w:rPr>
            </w:pPr>
            <w:r>
              <w:rPr>
                <w:rFonts w:ascii="Times New Roman" w:hAnsi="Times New Roman"/>
                <w:b/>
                <w:szCs w:val="24"/>
                <w:lang w:val="es-ES"/>
              </w:rPr>
              <w:t>2019</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527F9E" w14:textId="77777777" w:rsidR="009E632D" w:rsidRDefault="009E632D">
            <w:pPr>
              <w:jc w:val="center"/>
              <w:rPr>
                <w:rFonts w:ascii="Times New Roman" w:hAnsi="Times New Roman"/>
                <w:b/>
                <w:szCs w:val="24"/>
                <w:lang w:val="es-ES"/>
              </w:rPr>
            </w:pPr>
            <w:r>
              <w:rPr>
                <w:rFonts w:ascii="Times New Roman" w:hAnsi="Times New Roman"/>
                <w:b/>
                <w:szCs w:val="24"/>
                <w:lang w:val="es-ES"/>
              </w:rPr>
              <w:t>2020</w:t>
            </w:r>
          </w:p>
        </w:tc>
        <w:tc>
          <w:tcPr>
            <w:tcW w:w="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F6ACF0" w14:textId="77777777" w:rsidR="009E632D" w:rsidRDefault="009E632D">
            <w:pPr>
              <w:jc w:val="center"/>
              <w:rPr>
                <w:rFonts w:ascii="Times New Roman" w:hAnsi="Times New Roman"/>
                <w:b/>
                <w:szCs w:val="24"/>
                <w:lang w:val="es-ES"/>
              </w:rPr>
            </w:pPr>
            <w:r>
              <w:rPr>
                <w:rFonts w:ascii="Times New Roman" w:hAnsi="Times New Roman"/>
                <w:b/>
                <w:szCs w:val="24"/>
                <w:lang w:val="es-ES"/>
              </w:rPr>
              <w:t>TOTAL</w:t>
            </w:r>
          </w:p>
        </w:tc>
      </w:tr>
      <w:tr w:rsidR="009E632D" w14:paraId="18D9D30B"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A9923D6" w14:textId="77777777" w:rsidR="009E632D" w:rsidRDefault="009E632D">
            <w:pPr>
              <w:jc w:val="center"/>
              <w:rPr>
                <w:rFonts w:ascii="Times New Roman" w:hAnsi="Times New Roman"/>
                <w:b/>
                <w:bCs/>
                <w:szCs w:val="24"/>
                <w:lang w:val="es-ES"/>
              </w:rPr>
            </w:pPr>
            <w:r>
              <w:rPr>
                <w:rFonts w:ascii="Times New Roman" w:hAnsi="Times New Roman"/>
                <w:b/>
                <w:bCs/>
                <w:szCs w:val="24"/>
                <w:lang w:val="es-ES"/>
              </w:rPr>
              <w:t>HECTAREAS</w:t>
            </w:r>
          </w:p>
        </w:tc>
        <w:tc>
          <w:tcPr>
            <w:tcW w:w="833" w:type="dxa"/>
            <w:tcBorders>
              <w:top w:val="single" w:sz="4" w:space="0" w:color="auto"/>
              <w:left w:val="single" w:sz="4" w:space="0" w:color="auto"/>
              <w:bottom w:val="single" w:sz="4" w:space="0" w:color="auto"/>
              <w:right w:val="single" w:sz="4" w:space="0" w:color="auto"/>
            </w:tcBorders>
            <w:hideMark/>
          </w:tcPr>
          <w:p w14:paraId="00007E2C" w14:textId="77777777" w:rsidR="009E632D" w:rsidRDefault="009E632D">
            <w:pPr>
              <w:jc w:val="center"/>
              <w:rPr>
                <w:rFonts w:ascii="Times New Roman" w:hAnsi="Times New Roman"/>
                <w:szCs w:val="24"/>
                <w:lang w:val="es-ES"/>
              </w:rPr>
            </w:pPr>
            <w:r>
              <w:rPr>
                <w:rFonts w:ascii="Times New Roman" w:hAnsi="Times New Roman"/>
                <w:szCs w:val="24"/>
                <w:lang w:val="es-ES"/>
              </w:rPr>
              <w:t>2</w:t>
            </w:r>
          </w:p>
        </w:tc>
        <w:tc>
          <w:tcPr>
            <w:tcW w:w="791" w:type="dxa"/>
            <w:tcBorders>
              <w:top w:val="single" w:sz="4" w:space="0" w:color="auto"/>
              <w:left w:val="single" w:sz="4" w:space="0" w:color="auto"/>
              <w:bottom w:val="single" w:sz="4" w:space="0" w:color="auto"/>
              <w:right w:val="single" w:sz="4" w:space="0" w:color="auto"/>
            </w:tcBorders>
            <w:hideMark/>
          </w:tcPr>
          <w:p w14:paraId="2DF4FEA8" w14:textId="77777777" w:rsidR="009E632D" w:rsidRDefault="009E632D">
            <w:pPr>
              <w:jc w:val="center"/>
              <w:rPr>
                <w:rFonts w:ascii="Times New Roman" w:hAnsi="Times New Roman"/>
                <w:szCs w:val="24"/>
                <w:lang w:val="es-ES"/>
              </w:rPr>
            </w:pPr>
            <w:r>
              <w:rPr>
                <w:rFonts w:ascii="Times New Roman" w:hAnsi="Times New Roman"/>
                <w:szCs w:val="24"/>
                <w:lang w:val="es-ES"/>
              </w:rPr>
              <w:t>11,37</w:t>
            </w:r>
          </w:p>
        </w:tc>
        <w:tc>
          <w:tcPr>
            <w:tcW w:w="737" w:type="dxa"/>
            <w:tcBorders>
              <w:top w:val="single" w:sz="4" w:space="0" w:color="auto"/>
              <w:left w:val="single" w:sz="4" w:space="0" w:color="auto"/>
              <w:bottom w:val="single" w:sz="4" w:space="0" w:color="auto"/>
              <w:right w:val="single" w:sz="4" w:space="0" w:color="auto"/>
            </w:tcBorders>
            <w:hideMark/>
          </w:tcPr>
          <w:p w14:paraId="2ADA2E01" w14:textId="77777777" w:rsidR="009E632D" w:rsidRDefault="009E632D">
            <w:pPr>
              <w:jc w:val="center"/>
              <w:rPr>
                <w:rFonts w:ascii="Times New Roman" w:hAnsi="Times New Roman"/>
                <w:szCs w:val="24"/>
                <w:lang w:val="es-ES"/>
              </w:rPr>
            </w:pPr>
            <w:r>
              <w:rPr>
                <w:rFonts w:ascii="Times New Roman" w:hAnsi="Times New Roman"/>
                <w:szCs w:val="24"/>
                <w:lang w:val="es-ES"/>
              </w:rPr>
              <w:t>7,51</w:t>
            </w:r>
          </w:p>
        </w:tc>
        <w:tc>
          <w:tcPr>
            <w:tcW w:w="737" w:type="dxa"/>
            <w:tcBorders>
              <w:top w:val="single" w:sz="4" w:space="0" w:color="auto"/>
              <w:left w:val="single" w:sz="4" w:space="0" w:color="auto"/>
              <w:bottom w:val="single" w:sz="4" w:space="0" w:color="auto"/>
              <w:right w:val="single" w:sz="4" w:space="0" w:color="auto"/>
            </w:tcBorders>
            <w:hideMark/>
          </w:tcPr>
          <w:p w14:paraId="0F239BC2" w14:textId="77777777" w:rsidR="009E632D" w:rsidRDefault="009E632D">
            <w:pPr>
              <w:jc w:val="center"/>
              <w:rPr>
                <w:rFonts w:ascii="Times New Roman" w:hAnsi="Times New Roman"/>
                <w:szCs w:val="24"/>
                <w:lang w:val="es-ES"/>
              </w:rPr>
            </w:pPr>
            <w:r>
              <w:rPr>
                <w:rFonts w:ascii="Times New Roman" w:hAnsi="Times New Roman"/>
                <w:szCs w:val="24"/>
                <w:lang w:val="es-ES"/>
              </w:rPr>
              <w:t>3,15</w:t>
            </w:r>
          </w:p>
        </w:tc>
        <w:tc>
          <w:tcPr>
            <w:tcW w:w="687" w:type="dxa"/>
            <w:tcBorders>
              <w:top w:val="single" w:sz="4" w:space="0" w:color="auto"/>
              <w:left w:val="single" w:sz="4" w:space="0" w:color="auto"/>
              <w:bottom w:val="single" w:sz="4" w:space="0" w:color="auto"/>
              <w:right w:val="single" w:sz="4" w:space="0" w:color="auto"/>
            </w:tcBorders>
            <w:hideMark/>
          </w:tcPr>
          <w:p w14:paraId="641B0836" w14:textId="77777777" w:rsidR="009E632D" w:rsidRDefault="009E632D">
            <w:pPr>
              <w:jc w:val="center"/>
              <w:rPr>
                <w:rFonts w:ascii="Times New Roman" w:hAnsi="Times New Roman"/>
                <w:szCs w:val="24"/>
                <w:lang w:val="es-ES"/>
              </w:rPr>
            </w:pPr>
            <w:r>
              <w:rPr>
                <w:rFonts w:ascii="Times New Roman" w:hAnsi="Times New Roman"/>
                <w:szCs w:val="24"/>
                <w:lang w:val="es-ES"/>
              </w:rPr>
              <w:t>0,53</w:t>
            </w:r>
          </w:p>
        </w:tc>
        <w:tc>
          <w:tcPr>
            <w:tcW w:w="917" w:type="dxa"/>
            <w:tcBorders>
              <w:top w:val="single" w:sz="4" w:space="0" w:color="auto"/>
              <w:left w:val="single" w:sz="4" w:space="0" w:color="auto"/>
              <w:bottom w:val="single" w:sz="4" w:space="0" w:color="auto"/>
              <w:right w:val="single" w:sz="4" w:space="0" w:color="auto"/>
            </w:tcBorders>
            <w:hideMark/>
          </w:tcPr>
          <w:p w14:paraId="7C16FC4B" w14:textId="77777777" w:rsidR="009E632D" w:rsidRDefault="009E632D">
            <w:pPr>
              <w:jc w:val="center"/>
              <w:rPr>
                <w:rFonts w:ascii="Times New Roman" w:hAnsi="Times New Roman"/>
                <w:szCs w:val="24"/>
                <w:lang w:val="es-ES"/>
              </w:rPr>
            </w:pPr>
            <w:r>
              <w:rPr>
                <w:rFonts w:ascii="Times New Roman" w:hAnsi="Times New Roman"/>
                <w:b/>
                <w:szCs w:val="24"/>
                <w:lang w:val="es-ES"/>
              </w:rPr>
              <w:t>25,35</w:t>
            </w:r>
          </w:p>
        </w:tc>
      </w:tr>
    </w:tbl>
    <w:p w14:paraId="778201F8"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5192710B" w14:textId="77777777" w:rsidR="009E632D" w:rsidRDefault="009E632D" w:rsidP="009E632D">
      <w:pPr>
        <w:jc w:val="center"/>
        <w:rPr>
          <w:rFonts w:ascii="Times New Roman" w:hAnsi="Times New Roman"/>
          <w:b/>
        </w:rPr>
      </w:pPr>
    </w:p>
    <w:p w14:paraId="7A0786D6" w14:textId="77777777" w:rsidR="009E632D" w:rsidRDefault="009E632D" w:rsidP="009E632D">
      <w:pPr>
        <w:ind w:left="708"/>
        <w:rPr>
          <w:rFonts w:ascii="Times New Roman" w:hAnsi="Times New Roman"/>
        </w:rPr>
      </w:pPr>
      <w:r>
        <w:rPr>
          <w:rFonts w:ascii="Times New Roman" w:hAnsi="Times New Roman"/>
        </w:rPr>
        <w:t xml:space="preserve">Si se realiza un análisis detallado de la información se identifica </w:t>
      </w:r>
      <w:proofErr w:type="gramStart"/>
      <w:r>
        <w:rPr>
          <w:rFonts w:ascii="Times New Roman" w:hAnsi="Times New Roman"/>
        </w:rPr>
        <w:t>que  3</w:t>
      </w:r>
      <w:proofErr w:type="gramEnd"/>
      <w:r>
        <w:rPr>
          <w:rFonts w:ascii="Times New Roman" w:hAnsi="Times New Roman"/>
        </w:rPr>
        <w:t xml:space="preserve"> de las actividades que aportan al resultado global son: industria y servicio, estaciones de servicio (almacenamiento y distribución de combustibles) y minería. A continuación, se presenta el aporte individual al global en términos de áreas intervenidas con seguimiento y verificación. </w:t>
      </w:r>
    </w:p>
    <w:p w14:paraId="0DCCC9C3" w14:textId="77777777" w:rsidR="009E632D" w:rsidRDefault="009E632D" w:rsidP="009E632D">
      <w:pPr>
        <w:ind w:left="708"/>
        <w:rPr>
          <w:rFonts w:ascii="Times New Roman" w:hAnsi="Times New Roman"/>
        </w:rPr>
      </w:pPr>
    </w:p>
    <w:p w14:paraId="046507CC" w14:textId="77777777" w:rsidR="009E632D" w:rsidRDefault="009E632D" w:rsidP="009E632D">
      <w:pPr>
        <w:jc w:val="center"/>
        <w:rPr>
          <w:rFonts w:ascii="Times New Roman" w:hAnsi="Times New Roman"/>
          <w:sz w:val="22"/>
          <w:szCs w:val="22"/>
        </w:rPr>
      </w:pPr>
      <w:r>
        <w:rPr>
          <w:rFonts w:ascii="Times New Roman" w:hAnsi="Times New Roman"/>
          <w:sz w:val="22"/>
          <w:szCs w:val="22"/>
        </w:rPr>
        <w:t xml:space="preserve">Figura 4. Hectáreas Remediadas o Recuperadas por tipo de actividad </w:t>
      </w:r>
    </w:p>
    <w:p w14:paraId="32E8DB4D" w14:textId="2A8FB65A" w:rsidR="009E632D" w:rsidRDefault="009E632D" w:rsidP="00527722">
      <w:pPr>
        <w:ind w:left="-426"/>
        <w:jc w:val="center"/>
        <w:rPr>
          <w:rFonts w:ascii="Times New Roman" w:hAnsi="Times New Roman"/>
        </w:rPr>
      </w:pPr>
      <w:r>
        <w:rPr>
          <w:rFonts w:ascii="Times New Roman" w:hAnsi="Times New Roman"/>
          <w:noProof/>
          <w:lang w:eastAsia="es-CO"/>
        </w:rPr>
        <w:drawing>
          <wp:inline distT="0" distB="0" distL="0" distR="0" wp14:anchorId="1563E433" wp14:editId="385E7B1C">
            <wp:extent cx="5915025" cy="2266950"/>
            <wp:effectExtent l="0" t="0" r="9525" b="0"/>
            <wp:docPr id="8" name="Gráfico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noProof/>
          <w:lang w:val="en-US" w:eastAsia="en-US"/>
        </w:rPr>
        <w:t xml:space="preserve"> </w:t>
      </w:r>
    </w:p>
    <w:p w14:paraId="2A31E9AC" w14:textId="77777777" w:rsidR="009E632D" w:rsidRDefault="009E632D" w:rsidP="009E632D">
      <w:pPr>
        <w:jc w:val="center"/>
        <w:rPr>
          <w:rFonts w:ascii="Times New Roman" w:hAnsi="Times New Roman"/>
          <w:sz w:val="22"/>
          <w:szCs w:val="22"/>
        </w:rPr>
      </w:pPr>
      <w:r>
        <w:rPr>
          <w:rFonts w:ascii="Times New Roman" w:hAnsi="Times New Roman"/>
          <w:sz w:val="22"/>
          <w:szCs w:val="22"/>
        </w:rPr>
        <w:lastRenderedPageBreak/>
        <w:t>Fuente: SDA 2020</w:t>
      </w:r>
    </w:p>
    <w:p w14:paraId="57DE3703" w14:textId="77777777" w:rsidR="009E632D" w:rsidRDefault="009E632D" w:rsidP="009E632D">
      <w:pPr>
        <w:jc w:val="center"/>
        <w:rPr>
          <w:rFonts w:ascii="Times New Roman" w:hAnsi="Times New Roman"/>
          <w:sz w:val="22"/>
          <w:szCs w:val="22"/>
        </w:rPr>
      </w:pPr>
    </w:p>
    <w:p w14:paraId="02F14B88" w14:textId="77777777" w:rsidR="009E632D" w:rsidRDefault="009E632D" w:rsidP="009E632D">
      <w:pPr>
        <w:pStyle w:val="Prrafodelista"/>
        <w:numPr>
          <w:ilvl w:val="0"/>
          <w:numId w:val="32"/>
        </w:numPr>
        <w:contextualSpacing/>
        <w:rPr>
          <w:rFonts w:ascii="Times New Roman" w:hAnsi="Times New Roman"/>
          <w:szCs w:val="24"/>
          <w:lang w:eastAsia="es-CO"/>
        </w:rPr>
      </w:pPr>
      <w:r>
        <w:rPr>
          <w:rFonts w:ascii="Times New Roman" w:hAnsi="Times New Roman"/>
          <w:b/>
          <w:bCs/>
          <w:szCs w:val="24"/>
          <w:lang w:eastAsia="es-CO"/>
        </w:rPr>
        <w:t>Tramite sancionatorio ambiental en materia de suelos contaminados, hidrocarburos y minería.</w:t>
      </w:r>
    </w:p>
    <w:p w14:paraId="7DEB40EC" w14:textId="77777777" w:rsidR="009E632D" w:rsidRDefault="009E632D" w:rsidP="009E632D">
      <w:pPr>
        <w:jc w:val="center"/>
        <w:rPr>
          <w:rFonts w:ascii="Times New Roman" w:hAnsi="Times New Roman"/>
        </w:rPr>
      </w:pPr>
    </w:p>
    <w:p w14:paraId="4526977F" w14:textId="77777777" w:rsidR="009E632D" w:rsidRDefault="009E632D" w:rsidP="009E632D">
      <w:pPr>
        <w:ind w:left="708"/>
        <w:contextualSpacing/>
        <w:rPr>
          <w:rFonts w:ascii="Times New Roman" w:hAnsi="Times New Roman"/>
          <w:sz w:val="22"/>
          <w:szCs w:val="22"/>
        </w:rPr>
      </w:pPr>
      <w:r>
        <w:rPr>
          <w:rFonts w:ascii="Times New Roman" w:hAnsi="Times New Roman"/>
          <w:szCs w:val="24"/>
          <w:lang w:eastAsia="es-CO"/>
        </w:rPr>
        <w:t xml:space="preserve">De acuerdo con la identificación y las actividades de control y seguimiento de las actividades con afectación (potencial y configurada) , el equipo jurídico de apoyo de la Secretaria Distrital de Ambiente, a través de las verificaciones realizadas y las actuaciones técnicas generadas, realiza el impulso de tramites sancionatorios (entendido esto como generar las actuaciones de las etapas de proceso de manera eficaz) a usuarios operadores y dueños de predios en donde se configuran riesgos y ocurrencias de afectación al suelo y al agua subterránea del acuífero subterráneo por perjuicio del cumplimiento de la normatividad ambiental establecida, todo ello en respaldo de la Ley 1333 de 2009. </w:t>
      </w:r>
    </w:p>
    <w:p w14:paraId="748EB3FB" w14:textId="77777777" w:rsidR="009E632D" w:rsidRDefault="009E632D" w:rsidP="009E632D">
      <w:pPr>
        <w:ind w:left="708"/>
        <w:contextualSpacing/>
        <w:rPr>
          <w:rFonts w:ascii="Times New Roman" w:hAnsi="Times New Roman"/>
          <w:szCs w:val="24"/>
          <w:lang w:eastAsia="es-CO"/>
        </w:rPr>
      </w:pPr>
    </w:p>
    <w:p w14:paraId="219BA403" w14:textId="77777777" w:rsidR="009E632D" w:rsidRDefault="009E632D" w:rsidP="009E632D">
      <w:pPr>
        <w:ind w:left="708"/>
        <w:contextualSpacing/>
        <w:rPr>
          <w:rFonts w:ascii="Times New Roman" w:hAnsi="Times New Roman"/>
          <w:szCs w:val="24"/>
          <w:lang w:eastAsia="es-CO"/>
        </w:rPr>
      </w:pPr>
      <w:r>
        <w:rPr>
          <w:rFonts w:ascii="Times New Roman" w:hAnsi="Times New Roman"/>
          <w:szCs w:val="24"/>
          <w:lang w:eastAsia="es-CO"/>
        </w:rPr>
        <w:t>Es de tener en cuenta que el grupo jurídico deberá verificar las actuaciones técnicas de diagnóstico y control, en el orden de verificar la necesidad de tramitar las sanciones pertinentes y generar los correctivos competentes a los dueños de predios y usuarios que causen perjuicio a las matrices ambientales de incidencia del proyecto.</w:t>
      </w:r>
    </w:p>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A910D6">
      <w:pPr>
        <w:pStyle w:val="Prrafodelista"/>
        <w:numPr>
          <w:ilvl w:val="1"/>
          <w:numId w:val="5"/>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3B48B36" w14:textId="39755226" w:rsidR="00527722" w:rsidRDefault="00022E3E" w:rsidP="00022E3E">
      <w:pPr>
        <w:rPr>
          <w:rFonts w:ascii="Times New Roman" w:hAnsi="Times New Roman"/>
          <w:szCs w:val="24"/>
          <w:lang w:eastAsia="es-CO"/>
        </w:rPr>
      </w:pPr>
      <w:r>
        <w:rPr>
          <w:rFonts w:ascii="Times New Roman" w:hAnsi="Times New Roman"/>
          <w:szCs w:val="24"/>
          <w:lang w:eastAsia="es-CO"/>
        </w:rPr>
        <w:t>La incidencia de la afectación se ubica sobre el grueso del área urbana del Distrito Capital, toda vez que se identifica que cada una de las afectaciones a suelo puede generar un impacto de hasta 1 km a la redonda.</w:t>
      </w:r>
    </w:p>
    <w:p w14:paraId="64DD4083" w14:textId="77777777" w:rsidR="00022E3E" w:rsidRDefault="00022E3E" w:rsidP="00022E3E">
      <w:pPr>
        <w:rPr>
          <w:rFonts w:ascii="Times New Roman" w:hAnsi="Times New Roman"/>
          <w:szCs w:val="24"/>
          <w:lang w:eastAsia="es-CO"/>
        </w:rPr>
      </w:pPr>
    </w:p>
    <w:p w14:paraId="69EF5428" w14:textId="43CC8A22" w:rsidR="00F550E3" w:rsidRPr="0015408D"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7">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3F5A4E0A" w14:textId="1F0A25FF" w:rsidR="00527722" w:rsidRDefault="0018003D" w:rsidP="00527722">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r w:rsidR="00527722">
        <w:rPr>
          <w:rFonts w:ascii="Times New Roman" w:hAnsi="Times New Roman"/>
          <w:szCs w:val="24"/>
          <w:lang w:eastAsia="es-CO"/>
        </w:rPr>
        <w:t>:</w:t>
      </w:r>
    </w:p>
    <w:p w14:paraId="636078C8" w14:textId="006DBB66" w:rsidR="00527722" w:rsidRDefault="00527722" w:rsidP="00527722">
      <w:pPr>
        <w:contextualSpacing/>
        <w:jc w:val="left"/>
        <w:rPr>
          <w:rFonts w:ascii="Times New Roman" w:hAnsi="Times New Roman"/>
          <w:szCs w:val="24"/>
          <w:lang w:eastAsia="es-CO"/>
        </w:rPr>
      </w:pPr>
    </w:p>
    <w:p w14:paraId="43D4CAE3" w14:textId="77777777" w:rsidR="00527722" w:rsidRDefault="00527722" w:rsidP="00527722">
      <w:pPr>
        <w:rPr>
          <w:rFonts w:ascii="Times New Roman" w:hAnsi="Times New Roman"/>
          <w:szCs w:val="24"/>
          <w:lang w:eastAsia="es-CO"/>
        </w:rPr>
      </w:pPr>
      <w:r>
        <w:rPr>
          <w:rFonts w:ascii="Times New Roman" w:hAnsi="Times New Roman"/>
          <w:szCs w:val="24"/>
          <w:lang w:eastAsia="es-CO"/>
        </w:rPr>
        <w:t>De acuerdo con la identificación del problema, a continuación, se señalan los actores involucrados destacando que los mismos se clasificaron como actores Nacionales y Distritales de acuerdo con la localización contextual del proyecto:</w:t>
      </w:r>
    </w:p>
    <w:p w14:paraId="5578379C" w14:textId="77777777" w:rsidR="00527722" w:rsidRDefault="00527722" w:rsidP="00527722">
      <w:pPr>
        <w:jc w:val="left"/>
        <w:rPr>
          <w:rFonts w:ascii="Times New Roman" w:hAnsi="Times New Roman"/>
          <w:szCs w:val="24"/>
          <w:lang w:eastAsia="es-CO"/>
        </w:rPr>
      </w:pPr>
    </w:p>
    <w:p w14:paraId="7FFA5102" w14:textId="77777777" w:rsidR="00527722" w:rsidRDefault="00527722" w:rsidP="00527722">
      <w:pPr>
        <w:ind w:left="360"/>
        <w:jc w:val="center"/>
        <w:rPr>
          <w:rFonts w:ascii="Times New Roman" w:hAnsi="Times New Roman"/>
          <w:sz w:val="22"/>
          <w:szCs w:val="22"/>
        </w:rPr>
      </w:pPr>
      <w:r>
        <w:rPr>
          <w:rFonts w:ascii="Times New Roman" w:hAnsi="Times New Roman"/>
          <w:sz w:val="22"/>
          <w:szCs w:val="22"/>
        </w:rPr>
        <w:t>Tabla 4. Identificación de participantes del proyecto</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031"/>
        <w:gridCol w:w="2676"/>
        <w:gridCol w:w="3097"/>
      </w:tblGrid>
      <w:tr w:rsidR="00981597" w:rsidRPr="00981597" w14:paraId="212C023F" w14:textId="77777777" w:rsidTr="00981597">
        <w:trPr>
          <w:trHeight w:val="300"/>
          <w:tblHeader/>
          <w:jc w:val="center"/>
        </w:trPr>
        <w:tc>
          <w:tcPr>
            <w:tcW w:w="1985" w:type="dxa"/>
            <w:shd w:val="clear" w:color="auto" w:fill="538135" w:themeFill="accent6" w:themeFillShade="BF"/>
            <w:vAlign w:val="center"/>
            <w:hideMark/>
          </w:tcPr>
          <w:p w14:paraId="1D7915AE" w14:textId="4E33DDD9"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ACTOR/ENTIDAD</w:t>
            </w:r>
          </w:p>
        </w:tc>
        <w:tc>
          <w:tcPr>
            <w:tcW w:w="1031" w:type="dxa"/>
            <w:shd w:val="clear" w:color="auto" w:fill="538135" w:themeFill="accent6" w:themeFillShade="BF"/>
            <w:vAlign w:val="center"/>
            <w:hideMark/>
          </w:tcPr>
          <w:p w14:paraId="49417972"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POSICION</w:t>
            </w:r>
          </w:p>
        </w:tc>
        <w:tc>
          <w:tcPr>
            <w:tcW w:w="2676" w:type="dxa"/>
            <w:shd w:val="clear" w:color="auto" w:fill="538135" w:themeFill="accent6" w:themeFillShade="BF"/>
            <w:vAlign w:val="center"/>
            <w:hideMark/>
          </w:tcPr>
          <w:p w14:paraId="6FDCDDF5"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 xml:space="preserve">INTERESES O EXPECTATIVAS </w:t>
            </w:r>
          </w:p>
        </w:tc>
        <w:tc>
          <w:tcPr>
            <w:tcW w:w="3097" w:type="dxa"/>
            <w:shd w:val="clear" w:color="auto" w:fill="538135" w:themeFill="accent6" w:themeFillShade="BF"/>
            <w:vAlign w:val="center"/>
            <w:hideMark/>
          </w:tcPr>
          <w:p w14:paraId="073BEE27"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CONTRIBUCIÓN O GESTIÓN</w:t>
            </w:r>
          </w:p>
        </w:tc>
      </w:tr>
      <w:tr w:rsidR="00981597" w14:paraId="59D44298" w14:textId="77777777" w:rsidTr="00981597">
        <w:trPr>
          <w:trHeight w:val="416"/>
          <w:jc w:val="center"/>
        </w:trPr>
        <w:tc>
          <w:tcPr>
            <w:tcW w:w="1985" w:type="dxa"/>
            <w:shd w:val="clear" w:color="auto" w:fill="FFFFFF"/>
            <w:vAlign w:val="center"/>
            <w:hideMark/>
          </w:tcPr>
          <w:p w14:paraId="43E6F78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SECRETARÍA DISTRITAL DE AMBIENTE</w:t>
            </w:r>
          </w:p>
        </w:tc>
        <w:tc>
          <w:tcPr>
            <w:tcW w:w="1031" w:type="dxa"/>
            <w:shd w:val="clear" w:color="auto" w:fill="FFFFFF"/>
            <w:noWrap/>
            <w:vAlign w:val="center"/>
            <w:hideMark/>
          </w:tcPr>
          <w:p w14:paraId="0EB3AD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1E11C45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Disminución de los impactos ambientales adversos en los suelos y agua subterránea del acuífero somero en el distrito capital. Obtención de herramientas y datos para la optimización en la articulación con otras entidades distritales para la correcta planeación sobre la administración de los recursos naturales.</w:t>
            </w:r>
          </w:p>
        </w:tc>
        <w:tc>
          <w:tcPr>
            <w:tcW w:w="3097" w:type="dxa"/>
            <w:shd w:val="clear" w:color="auto" w:fill="FFFFFF"/>
            <w:vAlign w:val="center"/>
            <w:hideMark/>
          </w:tcPr>
          <w:p w14:paraId="2AA6BE0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Técnica, jurídica y financiera para la ejecución del proyecto. Seguimiento a la ejecución adecuada del proyecto a través de la verificación de indicadores.</w:t>
            </w:r>
          </w:p>
        </w:tc>
      </w:tr>
      <w:tr w:rsidR="00981597" w14:paraId="62EADFD0" w14:textId="77777777" w:rsidTr="00981597">
        <w:trPr>
          <w:trHeight w:val="1305"/>
          <w:jc w:val="center"/>
        </w:trPr>
        <w:tc>
          <w:tcPr>
            <w:tcW w:w="1985" w:type="dxa"/>
            <w:shd w:val="clear" w:color="auto" w:fill="FFFFFF"/>
            <w:vAlign w:val="center"/>
            <w:hideMark/>
          </w:tcPr>
          <w:p w14:paraId="3C5F339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SECRETARIA DISTRITAL DE AMBIENTE - CIMAB</w:t>
            </w:r>
          </w:p>
        </w:tc>
        <w:tc>
          <w:tcPr>
            <w:tcW w:w="1031" w:type="dxa"/>
            <w:shd w:val="clear" w:color="auto" w:fill="FFFFFF"/>
            <w:noWrap/>
            <w:vAlign w:val="center"/>
            <w:hideMark/>
          </w:tcPr>
          <w:p w14:paraId="2B4A7E0C"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3D25E8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Generación del modelo conceptual de captura de información sobre características del suelo en sitios con afectación (potencial y configurada) al suelo y/o agua subterránea del acuífero somero.</w:t>
            </w:r>
          </w:p>
        </w:tc>
        <w:tc>
          <w:tcPr>
            <w:tcW w:w="3097" w:type="dxa"/>
            <w:shd w:val="clear" w:color="auto" w:fill="FFFFFF"/>
            <w:vAlign w:val="center"/>
            <w:hideMark/>
          </w:tcPr>
          <w:p w14:paraId="188289B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gestionan las necesidades de variables y la correlación fisicoquímica para la construcción del modelo conceptual de acuerdo con las necesidades para la modelación matemática.</w:t>
            </w:r>
          </w:p>
        </w:tc>
      </w:tr>
      <w:tr w:rsidR="00981597" w14:paraId="395B794B" w14:textId="77777777" w:rsidTr="00981597">
        <w:trPr>
          <w:trHeight w:val="1200"/>
          <w:jc w:val="center"/>
        </w:trPr>
        <w:tc>
          <w:tcPr>
            <w:tcW w:w="1985" w:type="dxa"/>
            <w:shd w:val="clear" w:color="auto" w:fill="FFFFFF"/>
            <w:vAlign w:val="center"/>
            <w:hideMark/>
          </w:tcPr>
          <w:p w14:paraId="7A2E0C2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PLANEACIÓN</w:t>
            </w:r>
          </w:p>
        </w:tc>
        <w:tc>
          <w:tcPr>
            <w:tcW w:w="1031" w:type="dxa"/>
            <w:noWrap/>
            <w:vAlign w:val="center"/>
            <w:hideMark/>
          </w:tcPr>
          <w:p w14:paraId="5396033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D076D1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Obtención de diagnósticos específicos y herramientas de planificación para el desarrollo urbanístico de la ciudad y la habilitación de suelo urbano.</w:t>
            </w:r>
          </w:p>
        </w:tc>
        <w:tc>
          <w:tcPr>
            <w:tcW w:w="3097" w:type="dxa"/>
            <w:shd w:val="clear" w:color="auto" w:fill="FFFFFF"/>
            <w:vAlign w:val="center"/>
            <w:hideMark/>
          </w:tcPr>
          <w:p w14:paraId="60F1DA95"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Información catastral y predial de acuerdo con las bases e inventarios de los sistemas de información y censos.</w:t>
            </w:r>
          </w:p>
        </w:tc>
      </w:tr>
      <w:tr w:rsidR="00981597" w14:paraId="00F97B8C" w14:textId="77777777" w:rsidTr="00981597">
        <w:trPr>
          <w:trHeight w:val="900"/>
          <w:jc w:val="center"/>
        </w:trPr>
        <w:tc>
          <w:tcPr>
            <w:tcW w:w="1985" w:type="dxa"/>
            <w:shd w:val="clear" w:color="auto" w:fill="FFFFFF"/>
            <w:vAlign w:val="center"/>
            <w:hideMark/>
          </w:tcPr>
          <w:p w14:paraId="5F6CCDA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HÁBITAT</w:t>
            </w:r>
          </w:p>
        </w:tc>
        <w:tc>
          <w:tcPr>
            <w:tcW w:w="1031" w:type="dxa"/>
            <w:shd w:val="clear" w:color="auto" w:fill="FFFFFF"/>
            <w:noWrap/>
            <w:vAlign w:val="center"/>
            <w:hideMark/>
          </w:tcPr>
          <w:p w14:paraId="6C19BF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2E6CAE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Diagnósticos para el cambio de usos de suelos y habilitación de suelo urbano.</w:t>
            </w:r>
          </w:p>
        </w:tc>
        <w:tc>
          <w:tcPr>
            <w:tcW w:w="3097" w:type="dxa"/>
            <w:shd w:val="clear" w:color="auto" w:fill="FFFFFF"/>
            <w:vAlign w:val="center"/>
            <w:hideMark/>
          </w:tcPr>
          <w:p w14:paraId="5B02440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Solicitudes de diagnóstico sobre predios con sospecha de afectación.</w:t>
            </w:r>
          </w:p>
        </w:tc>
      </w:tr>
      <w:tr w:rsidR="00981597" w14:paraId="4CEF8B43" w14:textId="77777777" w:rsidTr="00981597">
        <w:trPr>
          <w:trHeight w:val="900"/>
          <w:jc w:val="center"/>
        </w:trPr>
        <w:tc>
          <w:tcPr>
            <w:tcW w:w="1985" w:type="dxa"/>
            <w:shd w:val="clear" w:color="auto" w:fill="FFFFFF"/>
            <w:vAlign w:val="center"/>
            <w:hideMark/>
          </w:tcPr>
          <w:p w14:paraId="2CA717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DESARROLLO URBANO - IDU</w:t>
            </w:r>
          </w:p>
        </w:tc>
        <w:tc>
          <w:tcPr>
            <w:tcW w:w="1031" w:type="dxa"/>
            <w:shd w:val="clear" w:color="auto" w:fill="FFFFFF"/>
            <w:noWrap/>
            <w:vAlign w:val="center"/>
            <w:hideMark/>
          </w:tcPr>
          <w:p w14:paraId="21344C5E"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E62829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en etapa de adquisición la realización de obras de espacio público.</w:t>
            </w:r>
          </w:p>
        </w:tc>
        <w:tc>
          <w:tcPr>
            <w:tcW w:w="3097" w:type="dxa"/>
            <w:shd w:val="clear" w:color="auto" w:fill="FFFFFF"/>
            <w:vAlign w:val="center"/>
            <w:hideMark/>
          </w:tcPr>
          <w:p w14:paraId="5439EAB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la necesidad de diagnosticar los predios que el IDU requiera en etapa de adquisición</w:t>
            </w:r>
          </w:p>
        </w:tc>
      </w:tr>
      <w:tr w:rsidR="00981597" w14:paraId="63D2B1D5" w14:textId="77777777" w:rsidTr="00981597">
        <w:trPr>
          <w:trHeight w:val="864"/>
          <w:jc w:val="center"/>
        </w:trPr>
        <w:tc>
          <w:tcPr>
            <w:tcW w:w="1985" w:type="dxa"/>
            <w:shd w:val="clear" w:color="auto" w:fill="FFFFFF"/>
            <w:vAlign w:val="center"/>
            <w:hideMark/>
          </w:tcPr>
          <w:p w14:paraId="4CF8A40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GESTIÓN DEL RIESGO Y CAMBIO CLIMÁTICO</w:t>
            </w:r>
          </w:p>
        </w:tc>
        <w:tc>
          <w:tcPr>
            <w:tcW w:w="1031" w:type="dxa"/>
            <w:shd w:val="clear" w:color="auto" w:fill="FFFFFF"/>
            <w:noWrap/>
            <w:vAlign w:val="center"/>
            <w:hideMark/>
          </w:tcPr>
          <w:p w14:paraId="79B8FF1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4920480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Verificación de predios con riesgo para los asentamientos urbanos relacionados con remoción en masa o Contaminación del suelo</w:t>
            </w:r>
          </w:p>
        </w:tc>
        <w:tc>
          <w:tcPr>
            <w:tcW w:w="3097" w:type="dxa"/>
            <w:shd w:val="clear" w:color="auto" w:fill="FFFFFF"/>
            <w:vAlign w:val="center"/>
            <w:hideMark/>
          </w:tcPr>
          <w:p w14:paraId="76778FC0"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Identificación de sitios con potenciales antecedentes de actividad de extracción minera o pasivos ambientales.</w:t>
            </w:r>
          </w:p>
        </w:tc>
      </w:tr>
      <w:tr w:rsidR="00981597" w14:paraId="7BBE0966" w14:textId="77777777" w:rsidTr="00981597">
        <w:trPr>
          <w:trHeight w:val="1500"/>
          <w:jc w:val="center"/>
        </w:trPr>
        <w:tc>
          <w:tcPr>
            <w:tcW w:w="1985" w:type="dxa"/>
            <w:shd w:val="clear" w:color="auto" w:fill="FFFFFF"/>
            <w:noWrap/>
            <w:vAlign w:val="center"/>
            <w:hideMark/>
          </w:tcPr>
          <w:p w14:paraId="1EBE9CD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MINAS Y ENERGÍA</w:t>
            </w:r>
          </w:p>
        </w:tc>
        <w:tc>
          <w:tcPr>
            <w:tcW w:w="1031" w:type="dxa"/>
            <w:shd w:val="clear" w:color="auto" w:fill="FFFFFF"/>
            <w:noWrap/>
            <w:vAlign w:val="center"/>
            <w:hideMark/>
          </w:tcPr>
          <w:p w14:paraId="1193B51B"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6A978DD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Control ambiental y diagnostico en establecimientos que almacenan y distribuyen combustibles en la cadena de comercialización autorizada por la nación.</w:t>
            </w:r>
          </w:p>
        </w:tc>
        <w:tc>
          <w:tcPr>
            <w:tcW w:w="3097" w:type="dxa"/>
            <w:shd w:val="clear" w:color="auto" w:fill="FFFFFF"/>
            <w:vAlign w:val="center"/>
            <w:hideMark/>
          </w:tcPr>
          <w:p w14:paraId="53298AC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Aportes de normatividad técnica nacional y bases de datos con la información de los actores de la cadena de distribución y almacenamiento de hidrocarburos y sus derivados.</w:t>
            </w:r>
          </w:p>
        </w:tc>
      </w:tr>
      <w:tr w:rsidR="00981597" w14:paraId="7C405B42" w14:textId="77777777" w:rsidTr="00981597">
        <w:trPr>
          <w:trHeight w:val="900"/>
          <w:jc w:val="center"/>
        </w:trPr>
        <w:tc>
          <w:tcPr>
            <w:tcW w:w="1985" w:type="dxa"/>
            <w:vAlign w:val="center"/>
            <w:hideMark/>
          </w:tcPr>
          <w:p w14:paraId="4FF9AF2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AMBIENTE Y DESARROLLO SOSTENIBLE</w:t>
            </w:r>
          </w:p>
        </w:tc>
        <w:tc>
          <w:tcPr>
            <w:tcW w:w="1031" w:type="dxa"/>
            <w:shd w:val="clear" w:color="auto" w:fill="FFFFFF"/>
            <w:noWrap/>
            <w:vAlign w:val="center"/>
            <w:hideMark/>
          </w:tcPr>
          <w:p w14:paraId="38C18286"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72B9253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Homologación de herramientas implementadas en el distrito para aplicación nacional, debido a la ausencia de normatividad específica para la protección del suelo como matriz ambiental.</w:t>
            </w:r>
          </w:p>
        </w:tc>
        <w:tc>
          <w:tcPr>
            <w:tcW w:w="3097" w:type="dxa"/>
            <w:vAlign w:val="center"/>
            <w:hideMark/>
          </w:tcPr>
          <w:p w14:paraId="43D5CDA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Articulación de información para estandarización nacional de normatividad y línea base conceptual.</w:t>
            </w:r>
          </w:p>
        </w:tc>
      </w:tr>
      <w:tr w:rsidR="00981597" w14:paraId="536107E2" w14:textId="77777777" w:rsidTr="00981597">
        <w:trPr>
          <w:trHeight w:val="1200"/>
          <w:jc w:val="center"/>
        </w:trPr>
        <w:tc>
          <w:tcPr>
            <w:tcW w:w="1985" w:type="dxa"/>
            <w:shd w:val="clear" w:color="auto" w:fill="FFFFFF"/>
            <w:vAlign w:val="center"/>
            <w:hideMark/>
          </w:tcPr>
          <w:p w14:paraId="4CD3B5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RECREACIÓN Y DEPORTE</w:t>
            </w:r>
          </w:p>
        </w:tc>
        <w:tc>
          <w:tcPr>
            <w:tcW w:w="1031" w:type="dxa"/>
            <w:shd w:val="clear" w:color="auto" w:fill="FFFFFF"/>
            <w:noWrap/>
            <w:vAlign w:val="center"/>
            <w:hideMark/>
          </w:tcPr>
          <w:p w14:paraId="70F9046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1C2A88F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Diagnostico e implementación de alternativas para habilitar los predios adquiridos con destino de recreación activa y pasiva.</w:t>
            </w:r>
          </w:p>
        </w:tc>
        <w:tc>
          <w:tcPr>
            <w:tcW w:w="3097" w:type="dxa"/>
            <w:shd w:val="clear" w:color="auto" w:fill="FFFFFF"/>
            <w:vAlign w:val="center"/>
            <w:hideMark/>
          </w:tcPr>
          <w:p w14:paraId="26D4F8F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requieren acuerdos distritales que fomenten la implementación y seguimiento de los diagnósticos de sitio e implementación de alternativas de remediación, recuperación o restauración de los predios según corresponda.</w:t>
            </w:r>
          </w:p>
        </w:tc>
      </w:tr>
      <w:tr w:rsidR="00981597" w14:paraId="5C5298F8" w14:textId="77777777" w:rsidTr="00981597">
        <w:trPr>
          <w:trHeight w:val="1266"/>
          <w:jc w:val="center"/>
        </w:trPr>
        <w:tc>
          <w:tcPr>
            <w:tcW w:w="1985" w:type="dxa"/>
            <w:shd w:val="clear" w:color="auto" w:fill="FFFFFF"/>
            <w:vAlign w:val="center"/>
            <w:hideMark/>
          </w:tcPr>
          <w:p w14:paraId="3B5F783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SISTEMA INTEGRADO DE TRANSPORTE PÚBLICO. (TRANSMILENIO S.A.</w:t>
            </w:r>
            <w:r>
              <w:rPr>
                <w:rFonts w:ascii="Times New Roman" w:hAnsi="Times New Roman"/>
                <w:color w:val="000000"/>
                <w:sz w:val="18"/>
                <w:szCs w:val="18"/>
                <w:lang w:eastAsia="es-CO"/>
              </w:rPr>
              <w:br/>
              <w:t>EMPRESA METRO DE BOGOTÁ)</w:t>
            </w:r>
          </w:p>
        </w:tc>
        <w:tc>
          <w:tcPr>
            <w:tcW w:w="1031" w:type="dxa"/>
            <w:shd w:val="clear" w:color="auto" w:fill="FFFFFF"/>
            <w:noWrap/>
            <w:vAlign w:val="center"/>
            <w:hideMark/>
          </w:tcPr>
          <w:p w14:paraId="58940DC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42E17AC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para la verificación de posibles afectaciones que configuren como pasivo ambiental en la adquisición y administración en concesión de estos.</w:t>
            </w:r>
          </w:p>
        </w:tc>
        <w:tc>
          <w:tcPr>
            <w:tcW w:w="3097" w:type="dxa"/>
            <w:shd w:val="clear" w:color="auto" w:fill="FFFFFF"/>
            <w:vAlign w:val="center"/>
            <w:hideMark/>
          </w:tcPr>
          <w:p w14:paraId="5F3055A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viene gestionando una mesa de trabajo para la verificar las necesidades de diagnóstico en predios de uso del sistema Integrado de transporte (Aparcamiento, y Abastecimiento de energéticos)</w:t>
            </w:r>
          </w:p>
        </w:tc>
      </w:tr>
      <w:tr w:rsidR="00981597" w14:paraId="72D17A74" w14:textId="77777777" w:rsidTr="00981597">
        <w:trPr>
          <w:trHeight w:val="1371"/>
          <w:jc w:val="center"/>
        </w:trPr>
        <w:tc>
          <w:tcPr>
            <w:tcW w:w="1985" w:type="dxa"/>
            <w:shd w:val="clear" w:color="auto" w:fill="FFFFFF"/>
            <w:vAlign w:val="center"/>
            <w:hideMark/>
          </w:tcPr>
          <w:p w14:paraId="4ADBAF1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(AGREMIACIONES Y MAYORISTA DE LA CADENA DE DISTRIBUCIÓN DE COMBUSTIBLES EN EL DISTRITO)</w:t>
            </w:r>
          </w:p>
        </w:tc>
        <w:tc>
          <w:tcPr>
            <w:tcW w:w="1031" w:type="dxa"/>
            <w:shd w:val="clear" w:color="auto" w:fill="FFFFFF"/>
            <w:noWrap/>
            <w:vAlign w:val="center"/>
            <w:hideMark/>
          </w:tcPr>
          <w:p w14:paraId="68D91571"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6B1875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Los diagnósticos realizados a estaciones de servicios requieren inversiones económicas y logísticas de acuerdo con los requerimientos de la autoridad ambiental.</w:t>
            </w:r>
          </w:p>
        </w:tc>
        <w:tc>
          <w:tcPr>
            <w:tcW w:w="3097" w:type="dxa"/>
            <w:shd w:val="clear" w:color="auto" w:fill="FFFFFF"/>
            <w:vAlign w:val="center"/>
            <w:hideMark/>
          </w:tcPr>
          <w:p w14:paraId="24552DF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27E20871" w14:textId="77777777" w:rsidTr="00981597">
        <w:trPr>
          <w:trHeight w:val="1313"/>
          <w:jc w:val="center"/>
        </w:trPr>
        <w:tc>
          <w:tcPr>
            <w:tcW w:w="1985" w:type="dxa"/>
            <w:shd w:val="clear" w:color="auto" w:fill="FFFFFF"/>
            <w:vAlign w:val="center"/>
            <w:hideMark/>
          </w:tcPr>
          <w:p w14:paraId="4782F0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PROPIETARIOS DE PREDIOS CON AFECTACIÓN (POTENCIAL O CONSTITUIDA) A SUELOS Y ACUÍFERO SOMERO.</w:t>
            </w:r>
          </w:p>
        </w:tc>
        <w:tc>
          <w:tcPr>
            <w:tcW w:w="1031" w:type="dxa"/>
            <w:shd w:val="clear" w:color="auto" w:fill="FFFFFF"/>
            <w:noWrap/>
            <w:vAlign w:val="center"/>
            <w:hideMark/>
          </w:tcPr>
          <w:p w14:paraId="054F3429"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4A90CE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condiciona el cambio del uso del suelo, y el saneamiento de posibles sitios contaminados o pasivos ambientales.</w:t>
            </w:r>
          </w:p>
        </w:tc>
        <w:tc>
          <w:tcPr>
            <w:tcW w:w="3097" w:type="dxa"/>
            <w:shd w:val="clear" w:color="auto" w:fill="FFFFFF"/>
            <w:vAlign w:val="center"/>
            <w:hideMark/>
          </w:tcPr>
          <w:p w14:paraId="30437B6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1666080E" w14:textId="77777777" w:rsidTr="00981597">
        <w:trPr>
          <w:trHeight w:val="1263"/>
          <w:jc w:val="center"/>
        </w:trPr>
        <w:tc>
          <w:tcPr>
            <w:tcW w:w="1985" w:type="dxa"/>
            <w:shd w:val="clear" w:color="auto" w:fill="FFFFFF"/>
            <w:vAlign w:val="center"/>
            <w:hideMark/>
          </w:tcPr>
          <w:p w14:paraId="09308B1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ACADEMIA (UNIVERSIDADES Y INSTITUTOS TÉCNICOS ESPECIALIZADOS)</w:t>
            </w:r>
          </w:p>
        </w:tc>
        <w:tc>
          <w:tcPr>
            <w:tcW w:w="1031" w:type="dxa"/>
            <w:shd w:val="clear" w:color="auto" w:fill="FFFFFF"/>
            <w:noWrap/>
            <w:vAlign w:val="center"/>
            <w:hideMark/>
          </w:tcPr>
          <w:p w14:paraId="265450B0"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0BA8424A"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Aplicación de conocimientos científicos generados para el mejoramiento de las condiciones ambientales de la ciudad e inmersión en escenarios de investigación aplicada.</w:t>
            </w:r>
          </w:p>
        </w:tc>
        <w:tc>
          <w:tcPr>
            <w:tcW w:w="3097" w:type="dxa"/>
            <w:shd w:val="clear" w:color="auto" w:fill="FFFFFF"/>
            <w:vAlign w:val="center"/>
            <w:hideMark/>
          </w:tcPr>
          <w:p w14:paraId="5103B5E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Aportar herramientas de gestión del conocimiento, investigación, aplicación de tecnologías e innovación.</w:t>
            </w:r>
          </w:p>
        </w:tc>
      </w:tr>
      <w:tr w:rsidR="00981597" w14:paraId="7C064ECA" w14:textId="77777777" w:rsidTr="00981597">
        <w:trPr>
          <w:trHeight w:val="1303"/>
          <w:jc w:val="center"/>
        </w:trPr>
        <w:tc>
          <w:tcPr>
            <w:tcW w:w="1985" w:type="dxa"/>
            <w:shd w:val="clear" w:color="auto" w:fill="FFFFFF"/>
            <w:vAlign w:val="center"/>
            <w:hideMark/>
          </w:tcPr>
          <w:p w14:paraId="07F37A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CIUDADANOS DE DISTRITO CAPITAL.</w:t>
            </w:r>
          </w:p>
        </w:tc>
        <w:tc>
          <w:tcPr>
            <w:tcW w:w="1031" w:type="dxa"/>
            <w:shd w:val="clear" w:color="auto" w:fill="FFFFFF"/>
            <w:noWrap/>
            <w:vAlign w:val="center"/>
            <w:hideMark/>
          </w:tcPr>
          <w:p w14:paraId="22A6439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5F7BDD3B"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garantiza el derecho a gozar de un ambiente sano a través de la protección de los recursos suelo y agua subterránea del acuífero somero.</w:t>
            </w:r>
          </w:p>
        </w:tc>
        <w:tc>
          <w:tcPr>
            <w:tcW w:w="3097" w:type="dxa"/>
            <w:shd w:val="clear" w:color="auto" w:fill="FFFFFF"/>
            <w:vAlign w:val="center"/>
            <w:hideMark/>
          </w:tcPr>
          <w:p w14:paraId="2DE3176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 a través de las solicitudes de información o las quejas o derechos de petición para verificar el estado de predios reportados. Se generará acceso a información sobre el estado de los predios de carácter público.</w:t>
            </w:r>
          </w:p>
        </w:tc>
      </w:tr>
    </w:tbl>
    <w:p w14:paraId="1909A34E" w14:textId="77777777" w:rsidR="00527722" w:rsidRDefault="00527722" w:rsidP="00527722">
      <w:pPr>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21CAADFF" w14:textId="77777777" w:rsidR="00527722" w:rsidRDefault="00527722" w:rsidP="00527722">
      <w:pPr>
        <w:jc w:val="left"/>
        <w:rPr>
          <w:rFonts w:ascii="Times New Roman" w:hAnsi="Times New Roman"/>
          <w:szCs w:val="24"/>
          <w:lang w:eastAsia="es-CO"/>
        </w:rPr>
      </w:pPr>
    </w:p>
    <w:p w14:paraId="7781CE20" w14:textId="77777777" w:rsidR="00527722" w:rsidRDefault="00527722" w:rsidP="00527722">
      <w:pPr>
        <w:rPr>
          <w:rFonts w:ascii="Times New Roman" w:hAnsi="Times New Roman"/>
          <w:szCs w:val="24"/>
          <w:lang w:eastAsia="es-CO"/>
        </w:rPr>
      </w:pPr>
      <w:r>
        <w:rPr>
          <w:rFonts w:ascii="Times New Roman" w:hAnsi="Times New Roman"/>
          <w:szCs w:val="24"/>
          <w:lang w:eastAsia="es-CO"/>
        </w:rPr>
        <w:t>Es importante mencionar que no se determinaron actores perjudicados por el desarrollo del proyecto ya que su intención es el mejoramiento de las condiciones de vida de la población común y el medio ambiente de Bogotá, no obstante, aquellos actores que pudieran sentir un impacto particular en sus actividades y/o economías se establecieron como posibles oponentes del proyecto.</w:t>
      </w:r>
    </w:p>
    <w:p w14:paraId="0CBAD714" w14:textId="76D9D562" w:rsidR="00527722" w:rsidRDefault="00527722" w:rsidP="00527722">
      <w:pPr>
        <w:contextualSpacing/>
        <w:jc w:val="left"/>
        <w:rPr>
          <w:rFonts w:ascii="Times New Roman" w:hAnsi="Times New Roman"/>
          <w:szCs w:val="24"/>
          <w:lang w:eastAsia="es-CO"/>
        </w:rPr>
      </w:pPr>
    </w:p>
    <w:p w14:paraId="1DDC0202" w14:textId="77777777" w:rsidR="00527722" w:rsidRPr="00527722" w:rsidRDefault="00527722" w:rsidP="00527722">
      <w:pPr>
        <w:contextualSpacing/>
        <w:jc w:val="left"/>
        <w:rPr>
          <w:rFonts w:ascii="Times New Roman" w:hAnsi="Times New Roman"/>
          <w:szCs w:val="24"/>
          <w:lang w:eastAsia="es-CO"/>
        </w:rPr>
      </w:pPr>
    </w:p>
    <w:p w14:paraId="25F49CF9" w14:textId="1FB99A85" w:rsidR="004D66BC" w:rsidRPr="00527722" w:rsidRDefault="0018003D" w:rsidP="00527722">
      <w:pPr>
        <w:pStyle w:val="Prrafodelista"/>
        <w:numPr>
          <w:ilvl w:val="0"/>
          <w:numId w:val="7"/>
        </w:numPr>
        <w:pBdr>
          <w:top w:val="nil"/>
          <w:left w:val="nil"/>
          <w:bottom w:val="nil"/>
          <w:right w:val="nil"/>
          <w:between w:val="nil"/>
        </w:pBdr>
        <w:ind w:left="284"/>
        <w:contextualSpacing/>
        <w:jc w:val="left"/>
        <w:rPr>
          <w:rFonts w:ascii="Times New Roman" w:hAnsi="Times New Roman"/>
          <w:sz w:val="22"/>
          <w:szCs w:val="22"/>
        </w:rPr>
      </w:pPr>
      <w:r w:rsidRPr="00527722">
        <w:rPr>
          <w:rFonts w:ascii="Times New Roman" w:hAnsi="Times New Roman"/>
          <w:b/>
          <w:bCs/>
          <w:color w:val="000000"/>
          <w:szCs w:val="24"/>
        </w:rPr>
        <w:t xml:space="preserve">Análisis de Participantes. </w:t>
      </w:r>
    </w:p>
    <w:p w14:paraId="2E69B2F7" w14:textId="77777777" w:rsidR="00527722" w:rsidRPr="00527722" w:rsidRDefault="00527722" w:rsidP="00527722">
      <w:pPr>
        <w:pStyle w:val="Prrafodelista"/>
        <w:pBdr>
          <w:top w:val="nil"/>
          <w:left w:val="nil"/>
          <w:bottom w:val="nil"/>
          <w:right w:val="nil"/>
          <w:between w:val="nil"/>
        </w:pBdr>
        <w:ind w:left="284"/>
        <w:contextualSpacing/>
        <w:jc w:val="left"/>
        <w:rPr>
          <w:rFonts w:ascii="Times New Roman" w:hAnsi="Times New Roman"/>
          <w:sz w:val="22"/>
          <w:szCs w:val="22"/>
        </w:rPr>
      </w:pPr>
    </w:p>
    <w:p w14:paraId="3E3A82C3" w14:textId="77777777" w:rsidR="00527722" w:rsidRDefault="00527722" w:rsidP="00527722">
      <w:pPr>
        <w:rPr>
          <w:rFonts w:ascii="Times New Roman" w:hAnsi="Times New Roman"/>
          <w:szCs w:val="24"/>
          <w:lang w:eastAsia="es-CO"/>
        </w:rPr>
      </w:pPr>
      <w:bookmarkStart w:id="9" w:name="bookmark=kix.k31bfpkkijeb" w:colFirst="0" w:colLast="0"/>
      <w:bookmarkStart w:id="10" w:name="_heading=h.30j0zll" w:colFirst="0" w:colLast="0"/>
      <w:bookmarkEnd w:id="9"/>
      <w:bookmarkEnd w:id="10"/>
      <w:r>
        <w:rPr>
          <w:rFonts w:ascii="Times New Roman" w:hAnsi="Times New Roman"/>
          <w:szCs w:val="24"/>
          <w:lang w:eastAsia="es-CO"/>
        </w:rPr>
        <w:t>Para el análisis se realizó un ejercicio de matriz DOFA, en el que se determinaron las debilidades, oportunidades fortalezas y amenazas del proyecto con énfasis en los participantes de este, y así establecer las posibles estrategias de comunicación y coordinación con cada uno de ellos para el adecuado desarrollo del proyecto.</w:t>
      </w:r>
    </w:p>
    <w:p w14:paraId="65B74D47" w14:textId="77777777" w:rsidR="00527722" w:rsidRDefault="00527722" w:rsidP="00527722">
      <w:pPr>
        <w:rPr>
          <w:rFonts w:ascii="Times New Roman" w:hAnsi="Times New Roman"/>
          <w:szCs w:val="24"/>
          <w:lang w:eastAsia="es-CO"/>
        </w:rPr>
      </w:pPr>
    </w:p>
    <w:p w14:paraId="441C7FD9" w14:textId="77777777" w:rsidR="00527722" w:rsidRDefault="00527722" w:rsidP="00527722">
      <w:pPr>
        <w:rPr>
          <w:rFonts w:ascii="Times New Roman" w:hAnsi="Times New Roman"/>
          <w:szCs w:val="24"/>
          <w:lang w:eastAsia="es-CO"/>
        </w:rPr>
      </w:pPr>
    </w:p>
    <w:p w14:paraId="1461869F" w14:textId="77777777" w:rsidR="00527722" w:rsidRDefault="00527722" w:rsidP="00527722">
      <w:pPr>
        <w:rPr>
          <w:rFonts w:ascii="Times New Roman" w:hAnsi="Times New Roman"/>
          <w:szCs w:val="24"/>
          <w:lang w:eastAsia="es-CO"/>
        </w:rPr>
      </w:pPr>
    </w:p>
    <w:p w14:paraId="7C762C9E"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5C9AA5B4"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Tabla 5. Matriz DOFA – Análisis de Participantes</w:t>
      </w:r>
    </w:p>
    <w:tbl>
      <w:tblPr>
        <w:tblW w:w="13320" w:type="dxa"/>
        <w:tblCellMar>
          <w:left w:w="70" w:type="dxa"/>
          <w:right w:w="70" w:type="dxa"/>
        </w:tblCellMar>
        <w:tblLook w:val="04A0" w:firstRow="1" w:lastRow="0" w:firstColumn="1" w:lastColumn="0" w:noHBand="0" w:noVBand="1"/>
      </w:tblPr>
      <w:tblGrid>
        <w:gridCol w:w="4390"/>
        <w:gridCol w:w="4394"/>
        <w:gridCol w:w="4536"/>
        <w:gridCol w:w="146"/>
      </w:tblGrid>
      <w:tr w:rsidR="00527722" w14:paraId="0FB64C71" w14:textId="77777777" w:rsidTr="00527722">
        <w:trPr>
          <w:gridAfter w:val="1"/>
          <w:trHeight w:val="103"/>
        </w:trPr>
        <w:tc>
          <w:tcPr>
            <w:tcW w:w="4390" w:type="dxa"/>
            <w:vMerge w:val="restart"/>
            <w:tcBorders>
              <w:top w:val="single" w:sz="4" w:space="0" w:color="auto"/>
              <w:left w:val="single" w:sz="4" w:space="0" w:color="auto"/>
              <w:bottom w:val="single" w:sz="4" w:space="0" w:color="auto"/>
              <w:right w:val="single" w:sz="4" w:space="0" w:color="auto"/>
            </w:tcBorders>
            <w:shd w:val="clear" w:color="auto" w:fill="757171"/>
            <w:vAlign w:val="center"/>
            <w:hideMark/>
          </w:tcPr>
          <w:p w14:paraId="33D3D16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MATRIZ DOFA </w:t>
            </w:r>
            <w:r>
              <w:rPr>
                <w:rFonts w:ascii="Times New Roman" w:hAnsi="Times New Roman"/>
                <w:b/>
                <w:bCs/>
                <w:color w:val="000000"/>
                <w:sz w:val="20"/>
                <w:lang w:eastAsia="es-CO"/>
              </w:rPr>
              <w:br/>
              <w:t>PARTICIPANTES</w:t>
            </w:r>
          </w:p>
        </w:tc>
        <w:tc>
          <w:tcPr>
            <w:tcW w:w="4394" w:type="dxa"/>
            <w:tcBorders>
              <w:top w:val="single" w:sz="4" w:space="0" w:color="auto"/>
              <w:left w:val="nil"/>
              <w:bottom w:val="single" w:sz="4" w:space="0" w:color="auto"/>
              <w:right w:val="single" w:sz="4" w:space="0" w:color="auto"/>
            </w:tcBorders>
            <w:shd w:val="clear" w:color="auto" w:fill="A9D08E"/>
            <w:noWrap/>
            <w:vAlign w:val="center"/>
            <w:hideMark/>
          </w:tcPr>
          <w:p w14:paraId="6015C658"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FORTALEZAS</w:t>
            </w:r>
          </w:p>
        </w:tc>
        <w:tc>
          <w:tcPr>
            <w:tcW w:w="4536" w:type="dxa"/>
            <w:tcBorders>
              <w:top w:val="single" w:sz="4" w:space="0" w:color="auto"/>
              <w:left w:val="nil"/>
              <w:bottom w:val="single" w:sz="4" w:space="0" w:color="auto"/>
              <w:right w:val="single" w:sz="4" w:space="0" w:color="auto"/>
            </w:tcBorders>
            <w:shd w:val="clear" w:color="auto" w:fill="BF8F00"/>
            <w:noWrap/>
            <w:vAlign w:val="center"/>
            <w:hideMark/>
          </w:tcPr>
          <w:p w14:paraId="3E66FAF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DEBILIDADES</w:t>
            </w:r>
          </w:p>
        </w:tc>
      </w:tr>
      <w:tr w:rsidR="00527722" w14:paraId="4A5DA016" w14:textId="77777777" w:rsidTr="00527722">
        <w:trPr>
          <w:gridAfter w:val="1"/>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F50CF" w14:textId="77777777" w:rsidR="00527722" w:rsidRDefault="00527722">
            <w:pPr>
              <w:spacing w:line="256" w:lineRule="auto"/>
              <w:jc w:val="left"/>
              <w:rPr>
                <w:rFonts w:ascii="Times New Roman" w:hAnsi="Times New Roman"/>
                <w:b/>
                <w:bCs/>
                <w:color w:val="000000"/>
                <w:sz w:val="20"/>
                <w:lang w:eastAsia="es-CO"/>
              </w:rPr>
            </w:pPr>
          </w:p>
        </w:tc>
        <w:tc>
          <w:tcPr>
            <w:tcW w:w="4394"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7DEBF328"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 xml:space="preserve">Articulación adecuada con entidades distritales de planeación sobre las necesidades de inclusión en las determinantes ambientales de aspectos relacionados con el diagnóstico de predios identificados como sitios potencialmente contaminados, esto como requisito en instrumentos de desarrollo urbanístico. </w:t>
            </w:r>
          </w:p>
          <w:p w14:paraId="5FDC3D31"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1000 predios con afectación (potencial o constituida) en suelo y agua subterráneo del acuífero somero, diagnosticados a través de actividades de evaluación control y seguimiento propias de la Autoridad Ambiental.</w:t>
            </w:r>
          </w:p>
          <w:p w14:paraId="1F245DCA" w14:textId="77777777" w:rsidR="00527722" w:rsidRDefault="00527722" w:rsidP="00527722">
            <w:pPr>
              <w:pStyle w:val="Prrafodelista"/>
              <w:numPr>
                <w:ilvl w:val="0"/>
                <w:numId w:val="32"/>
              </w:numPr>
              <w:spacing w:line="256" w:lineRule="auto"/>
              <w:ind w:left="212" w:hanging="212"/>
              <w:rPr>
                <w:rFonts w:ascii="Times New Roman" w:hAnsi="Times New Roman"/>
                <w:color w:val="000000"/>
                <w:sz w:val="18"/>
                <w:szCs w:val="18"/>
                <w:lang w:eastAsia="es-CO"/>
              </w:rPr>
            </w:pPr>
            <w:r>
              <w:rPr>
                <w:rFonts w:ascii="Times New Roman" w:hAnsi="Times New Roman"/>
                <w:color w:val="000000" w:themeColor="text1"/>
                <w:sz w:val="18"/>
                <w:szCs w:val="18"/>
                <w:lang w:eastAsia="es-CO"/>
              </w:rPr>
              <w:t>Visibilidad del tema al ser incluido como meta producto y meta resultado al plan de desarrollo, lo que permite la generación de herramientas de planificación de la ciudad y administración de los recursos asociados a predios identificados a través del diagnóstico propuesto.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512ED1D1"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Insuficiencia en normatividad ambiental de suelos e inexistencia de normatividad específica para gestión de sitios contaminados y diagnóstico ambiental de pasivos ambientales o contaminación en suelos.</w:t>
            </w:r>
          </w:p>
          <w:p w14:paraId="0C342B0D"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Falta de modelos conceptuales y matemáticos en el Distrito Capital relacionados con contaminación de suelos y agua subterránea del acuífero somero, asociados a sitios potencialmente contaminados, sitios contaminados, pasivos ambientales, suelos degradados por actividad extractiva de minerales.</w:t>
            </w:r>
          </w:p>
          <w:p w14:paraId="48644952" w14:textId="77777777" w:rsidR="00527722" w:rsidRDefault="00527722" w:rsidP="00527722">
            <w:pPr>
              <w:pStyle w:val="Prrafodelista"/>
              <w:numPr>
                <w:ilvl w:val="0"/>
                <w:numId w:val="32"/>
              </w:numPr>
              <w:spacing w:line="256" w:lineRule="auto"/>
              <w:ind w:left="218" w:hanging="218"/>
              <w:rPr>
                <w:rFonts w:ascii="Times New Roman" w:hAnsi="Times New Roman"/>
                <w:color w:val="000000"/>
                <w:sz w:val="18"/>
                <w:szCs w:val="18"/>
                <w:lang w:eastAsia="es-CO"/>
              </w:rPr>
            </w:pPr>
            <w:r>
              <w:rPr>
                <w:rFonts w:ascii="Times New Roman" w:hAnsi="Times New Roman"/>
                <w:color w:val="000000" w:themeColor="text1"/>
                <w:sz w:val="18"/>
                <w:szCs w:val="18"/>
                <w:lang w:eastAsia="es-CO"/>
              </w:rPr>
              <w:t>Baja inversión por parte de los propietarios de los predios y de los usuarios que ejecutan la actividad productiva para el desarrollo de investigaciones de sitio y migración a tecnologías adecuada para la prevención de la contaminación o actividades de remediación, restauración o recuperación a suelos y agua subterránea del acuífero somero.</w:t>
            </w:r>
          </w:p>
        </w:tc>
      </w:tr>
      <w:tr w:rsidR="00527722" w14:paraId="3ECB82B9" w14:textId="77777777" w:rsidTr="00527722">
        <w:trPr>
          <w:trHeight w:val="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348E8"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0A8C0"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697A2"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0EA3D914" w14:textId="77777777" w:rsidR="00527722" w:rsidRDefault="00527722">
            <w:pPr>
              <w:rPr>
                <w:rFonts w:ascii="Times New Roman" w:hAnsi="Times New Roman"/>
                <w:color w:val="000000"/>
                <w:sz w:val="18"/>
                <w:szCs w:val="18"/>
                <w:lang w:eastAsia="es-CO"/>
              </w:rPr>
            </w:pPr>
          </w:p>
        </w:tc>
      </w:tr>
      <w:tr w:rsidR="00527722" w14:paraId="05D8A52D"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2BE5D"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DB062"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454B9"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2C33518"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7857066D"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2F75B5"/>
            <w:noWrap/>
            <w:vAlign w:val="center"/>
            <w:hideMark/>
          </w:tcPr>
          <w:p w14:paraId="63455F73"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OPORTUNIDADES (Cooperantes y beneficiarios)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776BB024"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F.O.</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79514E7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D.O.</w:t>
            </w:r>
          </w:p>
        </w:tc>
        <w:tc>
          <w:tcPr>
            <w:tcW w:w="0" w:type="auto"/>
            <w:vAlign w:val="center"/>
            <w:hideMark/>
          </w:tcPr>
          <w:p w14:paraId="3F3BE899"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2DB28FA4" w14:textId="77777777" w:rsidTr="00527722">
        <w:trPr>
          <w:trHeight w:val="678"/>
        </w:trPr>
        <w:tc>
          <w:tcPr>
            <w:tcW w:w="43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9E836D"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Conocimiento emergente y oportunidades de aplicación de estudios y tecnologías en el proyecto de la mano de la academia.</w:t>
            </w:r>
          </w:p>
          <w:p w14:paraId="0524C1F2"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Fomento en la utilización de herramientas e instrumentos de control ambiental que permitan mitigar los impactos ambientales al suelo, orientados a la protección del medio ambiente y la salud pública de Bogotá.</w:t>
            </w:r>
          </w:p>
          <w:p w14:paraId="6E31101E" w14:textId="77777777" w:rsidR="00527722" w:rsidRDefault="00527722" w:rsidP="00527722">
            <w:pPr>
              <w:pStyle w:val="Prrafodelista"/>
              <w:numPr>
                <w:ilvl w:val="0"/>
                <w:numId w:val="32"/>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Generación de herramientas de planificación de la ciudad asociadas a contaminación y degradación de suelo, enfocada a la sostenibilidad del territorio y de las comunidades.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B44395F"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Aprovechar las estrategias de comunicación con las entidades distritales que podrían hacer uso del modelo conceptual planteado en el proyecto para optimizar el diseño y captura de variables.</w:t>
            </w:r>
          </w:p>
          <w:p w14:paraId="3359CFB3"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Generar convenios con la Academia (nacional o internacional) para el desarrollo de herramientas de control de acuerdo con el estado del arte en gestión y diagnóstico de suelos y agua subterránea del acuífero somero.</w:t>
            </w:r>
          </w:p>
          <w:p w14:paraId="1781C5F2"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Establecimiento de las bases para la generación de un catastro distrital de sitios contaminados y pasivos ambientales.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8938611" w14:textId="77777777" w:rsidR="00527722" w:rsidRDefault="00527722" w:rsidP="00527722">
            <w:pPr>
              <w:pStyle w:val="Prrafodelista"/>
              <w:numPr>
                <w:ilvl w:val="0"/>
                <w:numId w:val="33"/>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Gestionar la publicación de una norma técnica para la gestión de sitios contaminados y desmantelamiento de instalaciones donde se desarrollaron actividades industriales y de servicios.</w:t>
            </w:r>
          </w:p>
          <w:p w14:paraId="7E8B1A01" w14:textId="77777777" w:rsidR="00527722" w:rsidRDefault="00527722" w:rsidP="00527722">
            <w:pPr>
              <w:pStyle w:val="Prrafodelista"/>
              <w:numPr>
                <w:ilvl w:val="0"/>
                <w:numId w:val="33"/>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Desarrollar el modelo conceptual de captura de información sobre las condiciones del suelo y el agua subterránea del acuífero somero en los predios objeto del proyecto.</w:t>
            </w:r>
          </w:p>
          <w:p w14:paraId="3971A4C8" w14:textId="77777777" w:rsidR="00527722" w:rsidRDefault="00527722" w:rsidP="00527722">
            <w:pPr>
              <w:pStyle w:val="Prrafodelista"/>
              <w:numPr>
                <w:ilvl w:val="0"/>
                <w:numId w:val="33"/>
              </w:numPr>
              <w:spacing w:line="256" w:lineRule="auto"/>
              <w:ind w:left="104" w:hanging="104"/>
              <w:rPr>
                <w:rFonts w:ascii="Times New Roman" w:hAnsi="Times New Roman"/>
                <w:color w:val="000000"/>
                <w:sz w:val="18"/>
                <w:szCs w:val="18"/>
                <w:lang w:eastAsia="es-CO"/>
              </w:rPr>
            </w:pPr>
            <w:r>
              <w:rPr>
                <w:rFonts w:ascii="Times New Roman" w:hAnsi="Times New Roman"/>
                <w:color w:val="000000"/>
                <w:sz w:val="18"/>
                <w:szCs w:val="18"/>
                <w:lang w:eastAsia="es-CO"/>
              </w:rPr>
              <w:t>Desarrollar espacios interactivos de capacitación e información adecuada para los usuarios que cuenten con predios con afectación (potencial o constituida).</w:t>
            </w:r>
          </w:p>
        </w:tc>
        <w:tc>
          <w:tcPr>
            <w:tcW w:w="0" w:type="auto"/>
            <w:vAlign w:val="center"/>
            <w:hideMark/>
          </w:tcPr>
          <w:p w14:paraId="57CB4F6B"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60FDEAF2" w14:textId="77777777" w:rsidTr="00527722">
        <w:trPr>
          <w:trHeight w:val="6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634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5F5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CF7BC"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52389D78" w14:textId="77777777" w:rsidR="00527722" w:rsidRDefault="00527722">
            <w:pPr>
              <w:rPr>
                <w:rFonts w:ascii="Times New Roman" w:hAnsi="Times New Roman"/>
                <w:color w:val="000000"/>
                <w:sz w:val="18"/>
                <w:szCs w:val="18"/>
                <w:lang w:eastAsia="es-CO"/>
              </w:rPr>
            </w:pPr>
          </w:p>
        </w:tc>
      </w:tr>
      <w:tr w:rsidR="00527722" w14:paraId="30E6EB04"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B246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038C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2E9DA1"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4620F04"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762B38C"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C65911"/>
            <w:noWrap/>
            <w:vAlign w:val="center"/>
            <w:hideMark/>
          </w:tcPr>
          <w:p w14:paraId="25D2B4C6"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AMENAZAS (Oponentes)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1F6DCBE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F.A.</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52330FD7"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D.A.</w:t>
            </w:r>
          </w:p>
        </w:tc>
        <w:tc>
          <w:tcPr>
            <w:tcW w:w="0" w:type="auto"/>
            <w:vAlign w:val="center"/>
            <w:hideMark/>
          </w:tcPr>
          <w:p w14:paraId="0BF37F2E"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FBF6E3C" w14:textId="77777777" w:rsidTr="00527722">
        <w:trPr>
          <w:trHeight w:val="1056"/>
        </w:trPr>
        <w:tc>
          <w:tcPr>
            <w:tcW w:w="4390" w:type="dxa"/>
            <w:vMerge w:val="restart"/>
            <w:tcBorders>
              <w:top w:val="single" w:sz="4" w:space="0" w:color="auto"/>
              <w:left w:val="single" w:sz="4" w:space="0" w:color="auto"/>
              <w:bottom w:val="single" w:sz="4" w:space="0" w:color="auto"/>
              <w:right w:val="single" w:sz="4" w:space="0" w:color="auto"/>
            </w:tcBorders>
            <w:shd w:val="clear" w:color="auto" w:fill="FCE4D6"/>
            <w:vAlign w:val="center"/>
            <w:hideMark/>
          </w:tcPr>
          <w:p w14:paraId="408EBF4D" w14:textId="77777777" w:rsidR="00527722" w:rsidRDefault="00527722" w:rsidP="00527722">
            <w:pPr>
              <w:pStyle w:val="Prrafodelista"/>
              <w:numPr>
                <w:ilvl w:val="0"/>
                <w:numId w:val="34"/>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Dilatación en los tiempos de investigación por parte de propietarios o desarrolladores de la actividad, en los predios con afectación (potencia o constituida) objeto de instrumentos ambientales.</w:t>
            </w:r>
          </w:p>
          <w:p w14:paraId="3F4DC4B7" w14:textId="77777777" w:rsidR="00527722" w:rsidRDefault="00527722" w:rsidP="00527722">
            <w:pPr>
              <w:pStyle w:val="Prrafodelista"/>
              <w:numPr>
                <w:ilvl w:val="0"/>
                <w:numId w:val="34"/>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Aumento en los desmantelamientos inadecuados y sin control por parte de industrias y servicios, por la especulación de recesión actual.</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5806EDB" w14:textId="77777777" w:rsidR="00527722" w:rsidRDefault="00527722" w:rsidP="00527722">
            <w:pPr>
              <w:pStyle w:val="Prrafodelista"/>
              <w:numPr>
                <w:ilvl w:val="0"/>
                <w:numId w:val="34"/>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Establecer lineamientos de información y acompañamiento a los propietarios de predios, empresas mayorista y agremiaciones de minorista que cuenten con predios con afectación (potencial o constituida) en suelo y agua subterránea del acuífero somero.</w:t>
            </w:r>
          </w:p>
          <w:p w14:paraId="4B29A13F"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Estandarizar y divulgar los requerimientos ambientales y de investigación mínimos para el desarrollo de desmantelamiento de actividades industriales y de servicios.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71BD7FD" w14:textId="77777777" w:rsidR="00527722" w:rsidRDefault="00527722" w:rsidP="00527722">
            <w:pPr>
              <w:pStyle w:val="Prrafodelista"/>
              <w:numPr>
                <w:ilvl w:val="0"/>
                <w:numId w:val="34"/>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Fortalecer del trámite sancionatorio ambiental en los aspectos técnicos, jurídicos y administrativos para mejorar la eficiencia del proceso de Evaluación, Control y Seguimiento Ambiental.</w:t>
            </w:r>
          </w:p>
          <w:p w14:paraId="2239C02E" w14:textId="77777777" w:rsidR="00527722" w:rsidRDefault="00527722" w:rsidP="00527722">
            <w:pPr>
              <w:pStyle w:val="Prrafodelista"/>
              <w:numPr>
                <w:ilvl w:val="0"/>
                <w:numId w:val="34"/>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Establecer mesas de trabajo con grupos de interés y agremiaciones principales para divulgar el proyecto, su finalidad y su énfasis de control ambiental en pro del bienestar de la ciudadanía.</w:t>
            </w:r>
          </w:p>
        </w:tc>
        <w:tc>
          <w:tcPr>
            <w:tcW w:w="0" w:type="auto"/>
            <w:vAlign w:val="center"/>
            <w:hideMark/>
          </w:tcPr>
          <w:p w14:paraId="1C8E7230"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03713189"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4C2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B2AE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98AED"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192389FB" w14:textId="77777777" w:rsidR="00527722" w:rsidRDefault="00527722">
            <w:pPr>
              <w:rPr>
                <w:rFonts w:ascii="Times New Roman" w:hAnsi="Times New Roman"/>
                <w:sz w:val="18"/>
                <w:szCs w:val="18"/>
                <w:lang w:eastAsia="es-CO"/>
              </w:rPr>
            </w:pPr>
          </w:p>
        </w:tc>
      </w:tr>
      <w:tr w:rsidR="00527722" w14:paraId="6F6C57A8"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615F5"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532E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7E3B54"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72B6F1EF" w14:textId="77777777" w:rsidR="00527722" w:rsidRDefault="00527722">
            <w:pPr>
              <w:spacing w:line="256" w:lineRule="auto"/>
              <w:jc w:val="left"/>
              <w:rPr>
                <w:rFonts w:asciiTheme="minorHAnsi" w:eastAsiaTheme="minorHAnsi" w:hAnsiTheme="minorHAnsi" w:cstheme="minorBidi"/>
                <w:sz w:val="20"/>
                <w:lang w:eastAsia="es-CO"/>
              </w:rPr>
            </w:pPr>
          </w:p>
        </w:tc>
      </w:tr>
    </w:tbl>
    <w:p w14:paraId="2A6BAF5C" w14:textId="77777777" w:rsidR="00527722" w:rsidRDefault="00527722" w:rsidP="00527722">
      <w:pPr>
        <w:pStyle w:val="Prrafodelista"/>
        <w:ind w:left="0"/>
        <w:contextualSpacing/>
        <w:jc w:val="center"/>
        <w:rPr>
          <w:rFonts w:ascii="Times New Roman" w:hAnsi="Times New Roman"/>
          <w:szCs w:val="24"/>
          <w:lang w:eastAsia="es-CO"/>
        </w:rPr>
      </w:pPr>
      <w:r>
        <w:rPr>
          <w:rFonts w:ascii="Times New Roman" w:hAnsi="Times New Roman"/>
          <w:sz w:val="22"/>
          <w:szCs w:val="22"/>
          <w:lang w:eastAsia="es-CO"/>
        </w:rPr>
        <w:t>Fuentes: SDA – Ficha de Formulación MGA</w:t>
      </w:r>
    </w:p>
    <w:p w14:paraId="0033227C" w14:textId="77777777" w:rsidR="00527722" w:rsidRDefault="00527722" w:rsidP="00527722">
      <w:pPr>
        <w:jc w:val="left"/>
        <w:rPr>
          <w:rFonts w:ascii="Times New Roman" w:hAnsi="Times New Roman"/>
          <w:szCs w:val="24"/>
          <w:lang w:eastAsia="es-CO"/>
        </w:rPr>
        <w:sectPr w:rsidR="00527722" w:rsidSect="00527722">
          <w:pgSz w:w="15840" w:h="12240" w:orient="landscape"/>
          <w:pgMar w:top="567" w:right="1418" w:bottom="1276" w:left="1418" w:header="709" w:footer="709" w:gutter="0"/>
          <w:cols w:space="720"/>
        </w:sectPr>
      </w:pPr>
    </w:p>
    <w:p w14:paraId="6284DBDE" w14:textId="77777777"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8">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17EA5A78"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6A15C9B" w14:textId="77777777" w:rsidR="00527722" w:rsidRDefault="00527722" w:rsidP="00527722">
      <w:pPr>
        <w:rPr>
          <w:rFonts w:ascii="Times New Roman" w:hAnsi="Times New Roman"/>
          <w:color w:val="000000"/>
          <w:sz w:val="22"/>
          <w:szCs w:val="22"/>
          <w:lang w:eastAsia="es-CO"/>
        </w:rPr>
      </w:pPr>
      <w:r>
        <w:rPr>
          <w:rFonts w:ascii="Times New Roman" w:hAnsi="Times New Roman"/>
          <w:szCs w:val="24"/>
          <w:lang w:eastAsia="es-CO"/>
        </w:rPr>
        <w:t>Se define como población afectada a los habitantes de 18 localidades del distrito capital en las que se identificaron los predios con afectación (potencial o constituida), del suelo y el agua subterránea del acuífero somero, por actividades industriales de servicios y con antecedentes de extracción minera. Debido a que el proyecto tiene enfoque ambiental no se realiza caracterización de la población más allá del enfoque generacional establecido en la Tabla 6.</w:t>
      </w:r>
    </w:p>
    <w:p w14:paraId="076A9030" w14:textId="77777777" w:rsidR="00527722" w:rsidRDefault="00527722" w:rsidP="00527722">
      <w:pPr>
        <w:jc w:val="left"/>
        <w:rPr>
          <w:rFonts w:ascii="Times New Roman" w:hAnsi="Times New Roman"/>
          <w:szCs w:val="24"/>
          <w:lang w:eastAsia="es-CO"/>
        </w:rPr>
      </w:pPr>
    </w:p>
    <w:p w14:paraId="1E2A27CE" w14:textId="77777777" w:rsidR="00527722" w:rsidRDefault="00527722" w:rsidP="00527722">
      <w:pPr>
        <w:jc w:val="center"/>
        <w:rPr>
          <w:rFonts w:ascii="Times New Roman" w:hAnsi="Times New Roman"/>
          <w:sz w:val="22"/>
          <w:szCs w:val="22"/>
        </w:rPr>
      </w:pPr>
      <w:r>
        <w:rPr>
          <w:rFonts w:ascii="Times New Roman" w:hAnsi="Times New Roman"/>
          <w:sz w:val="22"/>
          <w:szCs w:val="22"/>
        </w:rPr>
        <w:t xml:space="preserve">Tabla 6. Enfoque poblacional relacionado con el problema planteado. </w:t>
      </w:r>
    </w:p>
    <w:tbl>
      <w:tblPr>
        <w:tblW w:w="7787" w:type="dxa"/>
        <w:jc w:val="center"/>
        <w:tblCellMar>
          <w:left w:w="70" w:type="dxa"/>
          <w:right w:w="70" w:type="dxa"/>
        </w:tblCellMar>
        <w:tblLook w:val="04A0" w:firstRow="1" w:lastRow="0" w:firstColumn="1" w:lastColumn="0" w:noHBand="0" w:noVBand="1"/>
      </w:tblPr>
      <w:tblGrid>
        <w:gridCol w:w="3251"/>
        <w:gridCol w:w="1792"/>
        <w:gridCol w:w="1163"/>
        <w:gridCol w:w="1581"/>
      </w:tblGrid>
      <w:tr w:rsidR="00527722" w14:paraId="36606E2A" w14:textId="77777777" w:rsidTr="00527722">
        <w:trPr>
          <w:trHeight w:val="189"/>
          <w:jc w:val="center"/>
        </w:trPr>
        <w:tc>
          <w:tcPr>
            <w:tcW w:w="3251" w:type="dxa"/>
            <w:vMerge w:val="restart"/>
            <w:tcBorders>
              <w:top w:val="single" w:sz="8" w:space="0" w:color="auto"/>
              <w:left w:val="single" w:sz="8" w:space="0" w:color="auto"/>
              <w:bottom w:val="single" w:sz="8" w:space="0" w:color="000000"/>
              <w:right w:val="nil"/>
            </w:tcBorders>
            <w:shd w:val="clear" w:color="auto" w:fill="F2F2F2"/>
            <w:vAlign w:val="center"/>
            <w:hideMark/>
          </w:tcPr>
          <w:p w14:paraId="5245BD5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GRUPO ETAREO (ENFOQUE GENERACIONAL)</w:t>
            </w:r>
          </w:p>
        </w:tc>
        <w:tc>
          <w:tcPr>
            <w:tcW w:w="2955" w:type="dxa"/>
            <w:gridSpan w:val="2"/>
            <w:tcBorders>
              <w:top w:val="single" w:sz="8" w:space="0" w:color="auto"/>
              <w:left w:val="single" w:sz="8" w:space="0" w:color="auto"/>
              <w:bottom w:val="nil"/>
              <w:right w:val="single" w:sz="8" w:space="0" w:color="000000"/>
            </w:tcBorders>
            <w:shd w:val="clear" w:color="auto" w:fill="8EA9DB"/>
            <w:vAlign w:val="center"/>
            <w:hideMark/>
          </w:tcPr>
          <w:p w14:paraId="587C77BC"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GENERO</w:t>
            </w:r>
          </w:p>
        </w:tc>
        <w:tc>
          <w:tcPr>
            <w:tcW w:w="1581" w:type="dxa"/>
            <w:vMerge w:val="restart"/>
            <w:tcBorders>
              <w:top w:val="single" w:sz="8" w:space="0" w:color="auto"/>
              <w:left w:val="single" w:sz="8" w:space="0" w:color="auto"/>
              <w:bottom w:val="single" w:sz="8" w:space="0" w:color="auto"/>
              <w:right w:val="single" w:sz="8" w:space="0" w:color="000000"/>
            </w:tcBorders>
            <w:shd w:val="clear" w:color="auto" w:fill="A8D08D" w:themeFill="accent6" w:themeFillTint="99"/>
            <w:vAlign w:val="center"/>
            <w:hideMark/>
          </w:tcPr>
          <w:p w14:paraId="3A0A40B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SUBTOTALES</w:t>
            </w:r>
          </w:p>
        </w:tc>
      </w:tr>
      <w:tr w:rsidR="00527722" w14:paraId="047253BE" w14:textId="77777777" w:rsidTr="00527722">
        <w:trPr>
          <w:trHeight w:val="60"/>
          <w:jc w:val="center"/>
        </w:trPr>
        <w:tc>
          <w:tcPr>
            <w:tcW w:w="0" w:type="auto"/>
            <w:vMerge/>
            <w:tcBorders>
              <w:top w:val="single" w:sz="8" w:space="0" w:color="auto"/>
              <w:left w:val="single" w:sz="8" w:space="0" w:color="auto"/>
              <w:bottom w:val="single" w:sz="8" w:space="0" w:color="000000"/>
              <w:right w:val="nil"/>
            </w:tcBorders>
            <w:vAlign w:val="center"/>
            <w:hideMark/>
          </w:tcPr>
          <w:p w14:paraId="2C6F0D03" w14:textId="77777777" w:rsidR="00527722" w:rsidRDefault="00527722">
            <w:pPr>
              <w:spacing w:line="256" w:lineRule="auto"/>
              <w:jc w:val="left"/>
              <w:rPr>
                <w:rFonts w:ascii="Times New Roman" w:hAnsi="Times New Roman"/>
                <w:b/>
                <w:bCs/>
                <w:color w:val="000000"/>
                <w:sz w:val="20"/>
                <w:lang w:eastAsia="es-CO"/>
              </w:rPr>
            </w:pPr>
          </w:p>
        </w:tc>
        <w:tc>
          <w:tcPr>
            <w:tcW w:w="1792" w:type="dxa"/>
            <w:tcBorders>
              <w:top w:val="single" w:sz="8" w:space="0" w:color="auto"/>
              <w:left w:val="single" w:sz="8" w:space="0" w:color="auto"/>
              <w:bottom w:val="single" w:sz="8" w:space="0" w:color="auto"/>
              <w:right w:val="single" w:sz="4" w:space="0" w:color="auto"/>
            </w:tcBorders>
            <w:shd w:val="clear" w:color="auto" w:fill="F2F2F2"/>
            <w:vAlign w:val="center"/>
            <w:hideMark/>
          </w:tcPr>
          <w:p w14:paraId="3B52F811"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MUJERES</w:t>
            </w:r>
          </w:p>
        </w:tc>
        <w:tc>
          <w:tcPr>
            <w:tcW w:w="1163" w:type="dxa"/>
            <w:tcBorders>
              <w:top w:val="single" w:sz="8" w:space="0" w:color="auto"/>
              <w:left w:val="nil"/>
              <w:bottom w:val="single" w:sz="8" w:space="0" w:color="auto"/>
              <w:right w:val="single" w:sz="8" w:space="0" w:color="auto"/>
            </w:tcBorders>
            <w:shd w:val="clear" w:color="auto" w:fill="F2F2F2"/>
            <w:vAlign w:val="center"/>
            <w:hideMark/>
          </w:tcPr>
          <w:p w14:paraId="7903850E"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HOMBRES</w:t>
            </w:r>
          </w:p>
        </w:tc>
        <w:tc>
          <w:tcPr>
            <w:tcW w:w="0" w:type="auto"/>
            <w:vMerge/>
            <w:tcBorders>
              <w:top w:val="single" w:sz="8" w:space="0" w:color="auto"/>
              <w:left w:val="single" w:sz="8" w:space="0" w:color="auto"/>
              <w:bottom w:val="single" w:sz="8" w:space="0" w:color="auto"/>
              <w:right w:val="single" w:sz="8" w:space="0" w:color="000000"/>
            </w:tcBorders>
            <w:vAlign w:val="center"/>
            <w:hideMark/>
          </w:tcPr>
          <w:p w14:paraId="171464F9" w14:textId="77777777" w:rsidR="00527722" w:rsidRDefault="00527722">
            <w:pPr>
              <w:spacing w:line="256" w:lineRule="auto"/>
              <w:jc w:val="left"/>
              <w:rPr>
                <w:rFonts w:ascii="Times New Roman" w:hAnsi="Times New Roman"/>
                <w:b/>
                <w:bCs/>
                <w:color w:val="000000"/>
                <w:sz w:val="20"/>
                <w:lang w:eastAsia="es-CO"/>
              </w:rPr>
            </w:pPr>
          </w:p>
        </w:tc>
      </w:tr>
      <w:tr w:rsidR="00527722" w14:paraId="10DE3E82"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10344BD"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0 - 5 AÑOS</w:t>
            </w:r>
          </w:p>
        </w:tc>
        <w:tc>
          <w:tcPr>
            <w:tcW w:w="1792" w:type="dxa"/>
            <w:tcBorders>
              <w:top w:val="nil"/>
              <w:left w:val="single" w:sz="8" w:space="0" w:color="auto"/>
              <w:bottom w:val="single" w:sz="4" w:space="0" w:color="auto"/>
              <w:right w:val="single" w:sz="4" w:space="0" w:color="auto"/>
            </w:tcBorders>
            <w:noWrap/>
            <w:hideMark/>
          </w:tcPr>
          <w:p w14:paraId="6570E0A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215.992 </w:t>
            </w:r>
          </w:p>
        </w:tc>
        <w:tc>
          <w:tcPr>
            <w:tcW w:w="1163" w:type="dxa"/>
            <w:tcBorders>
              <w:top w:val="nil"/>
              <w:left w:val="nil"/>
              <w:bottom w:val="single" w:sz="4" w:space="0" w:color="auto"/>
              <w:right w:val="single" w:sz="8" w:space="0" w:color="auto"/>
            </w:tcBorders>
            <w:noWrap/>
            <w:hideMark/>
          </w:tcPr>
          <w:p w14:paraId="36671FE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226.876 </w:t>
            </w:r>
          </w:p>
        </w:tc>
        <w:tc>
          <w:tcPr>
            <w:tcW w:w="1581" w:type="dxa"/>
            <w:tcBorders>
              <w:top w:val="nil"/>
              <w:left w:val="nil"/>
              <w:bottom w:val="single" w:sz="4" w:space="0" w:color="auto"/>
              <w:right w:val="single" w:sz="8" w:space="0" w:color="auto"/>
            </w:tcBorders>
            <w:hideMark/>
          </w:tcPr>
          <w:p w14:paraId="2D402528"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442.868 </w:t>
            </w:r>
          </w:p>
        </w:tc>
      </w:tr>
      <w:tr w:rsidR="00527722" w14:paraId="34ADC085"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910C5F0"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6 - 13 AÑOS </w:t>
            </w:r>
          </w:p>
        </w:tc>
        <w:tc>
          <w:tcPr>
            <w:tcW w:w="1792" w:type="dxa"/>
            <w:tcBorders>
              <w:top w:val="nil"/>
              <w:left w:val="single" w:sz="8" w:space="0" w:color="auto"/>
              <w:bottom w:val="single" w:sz="4" w:space="0" w:color="auto"/>
              <w:right w:val="single" w:sz="4" w:space="0" w:color="auto"/>
            </w:tcBorders>
            <w:noWrap/>
            <w:hideMark/>
          </w:tcPr>
          <w:p w14:paraId="53865151"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485.696 </w:t>
            </w:r>
          </w:p>
        </w:tc>
        <w:tc>
          <w:tcPr>
            <w:tcW w:w="1163" w:type="dxa"/>
            <w:tcBorders>
              <w:top w:val="nil"/>
              <w:left w:val="nil"/>
              <w:bottom w:val="single" w:sz="4" w:space="0" w:color="auto"/>
              <w:right w:val="single" w:sz="8" w:space="0" w:color="auto"/>
            </w:tcBorders>
            <w:noWrap/>
            <w:hideMark/>
          </w:tcPr>
          <w:p w14:paraId="62EA750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504.475 </w:t>
            </w:r>
          </w:p>
        </w:tc>
        <w:tc>
          <w:tcPr>
            <w:tcW w:w="1581" w:type="dxa"/>
            <w:tcBorders>
              <w:top w:val="nil"/>
              <w:left w:val="nil"/>
              <w:bottom w:val="single" w:sz="4" w:space="0" w:color="auto"/>
              <w:right w:val="single" w:sz="8" w:space="0" w:color="auto"/>
            </w:tcBorders>
            <w:hideMark/>
          </w:tcPr>
          <w:p w14:paraId="579971C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990.171 </w:t>
            </w:r>
          </w:p>
        </w:tc>
      </w:tr>
      <w:tr w:rsidR="00527722" w14:paraId="0CC725EA"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08BF8C2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14 - 28 AÑOS</w:t>
            </w:r>
          </w:p>
        </w:tc>
        <w:tc>
          <w:tcPr>
            <w:tcW w:w="1792" w:type="dxa"/>
            <w:tcBorders>
              <w:top w:val="nil"/>
              <w:left w:val="single" w:sz="8" w:space="0" w:color="auto"/>
              <w:bottom w:val="single" w:sz="4" w:space="0" w:color="auto"/>
              <w:right w:val="single" w:sz="4" w:space="0" w:color="auto"/>
            </w:tcBorders>
            <w:noWrap/>
            <w:hideMark/>
          </w:tcPr>
          <w:p w14:paraId="376F915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1.039.234 </w:t>
            </w:r>
          </w:p>
        </w:tc>
        <w:tc>
          <w:tcPr>
            <w:tcW w:w="1163" w:type="dxa"/>
            <w:tcBorders>
              <w:top w:val="nil"/>
              <w:left w:val="nil"/>
              <w:bottom w:val="single" w:sz="4" w:space="0" w:color="auto"/>
              <w:right w:val="single" w:sz="8" w:space="0" w:color="auto"/>
            </w:tcBorders>
            <w:noWrap/>
            <w:hideMark/>
          </w:tcPr>
          <w:p w14:paraId="4E27E87C"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1.025.690 </w:t>
            </w:r>
          </w:p>
        </w:tc>
        <w:tc>
          <w:tcPr>
            <w:tcW w:w="1581" w:type="dxa"/>
            <w:tcBorders>
              <w:top w:val="nil"/>
              <w:left w:val="nil"/>
              <w:bottom w:val="single" w:sz="4" w:space="0" w:color="auto"/>
              <w:right w:val="single" w:sz="8" w:space="0" w:color="auto"/>
            </w:tcBorders>
            <w:hideMark/>
          </w:tcPr>
          <w:p w14:paraId="6C0EBF2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2.064.924 </w:t>
            </w:r>
          </w:p>
        </w:tc>
      </w:tr>
      <w:tr w:rsidR="00527722" w14:paraId="78B4E56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F063C14"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29 - 59 AÑOS </w:t>
            </w:r>
          </w:p>
        </w:tc>
        <w:tc>
          <w:tcPr>
            <w:tcW w:w="1792" w:type="dxa"/>
            <w:tcBorders>
              <w:top w:val="nil"/>
              <w:left w:val="single" w:sz="8" w:space="0" w:color="auto"/>
              <w:bottom w:val="single" w:sz="4" w:space="0" w:color="auto"/>
              <w:right w:val="single" w:sz="4" w:space="0" w:color="auto"/>
            </w:tcBorders>
            <w:noWrap/>
            <w:hideMark/>
          </w:tcPr>
          <w:p w14:paraId="3D3B9C57"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1.695.976 </w:t>
            </w:r>
          </w:p>
        </w:tc>
        <w:tc>
          <w:tcPr>
            <w:tcW w:w="1163" w:type="dxa"/>
            <w:tcBorders>
              <w:top w:val="nil"/>
              <w:left w:val="nil"/>
              <w:bottom w:val="single" w:sz="4" w:space="0" w:color="auto"/>
              <w:right w:val="single" w:sz="8" w:space="0" w:color="auto"/>
            </w:tcBorders>
            <w:noWrap/>
            <w:hideMark/>
          </w:tcPr>
          <w:p w14:paraId="32E97D9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1.488.536 </w:t>
            </w:r>
          </w:p>
        </w:tc>
        <w:tc>
          <w:tcPr>
            <w:tcW w:w="1581" w:type="dxa"/>
            <w:tcBorders>
              <w:top w:val="nil"/>
              <w:left w:val="nil"/>
              <w:bottom w:val="single" w:sz="4" w:space="0" w:color="auto"/>
              <w:right w:val="single" w:sz="8" w:space="0" w:color="auto"/>
            </w:tcBorders>
            <w:hideMark/>
          </w:tcPr>
          <w:p w14:paraId="4284B8D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3.184.512 </w:t>
            </w:r>
          </w:p>
        </w:tc>
      </w:tr>
      <w:tr w:rsidR="00527722" w14:paraId="5362FC7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ED1889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60 en adelante </w:t>
            </w:r>
          </w:p>
        </w:tc>
        <w:tc>
          <w:tcPr>
            <w:tcW w:w="1792" w:type="dxa"/>
            <w:tcBorders>
              <w:top w:val="nil"/>
              <w:left w:val="single" w:sz="8" w:space="0" w:color="auto"/>
              <w:bottom w:val="single" w:sz="4" w:space="0" w:color="auto"/>
              <w:right w:val="single" w:sz="4" w:space="0" w:color="auto"/>
            </w:tcBorders>
            <w:noWrap/>
            <w:hideMark/>
          </w:tcPr>
          <w:p w14:paraId="57710F19"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590.358 </w:t>
            </w:r>
          </w:p>
        </w:tc>
        <w:tc>
          <w:tcPr>
            <w:tcW w:w="1163" w:type="dxa"/>
            <w:tcBorders>
              <w:top w:val="nil"/>
              <w:left w:val="nil"/>
              <w:bottom w:val="single" w:sz="4" w:space="0" w:color="auto"/>
              <w:right w:val="single" w:sz="8" w:space="0" w:color="auto"/>
            </w:tcBorders>
            <w:noWrap/>
            <w:hideMark/>
          </w:tcPr>
          <w:p w14:paraId="275D058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424.242 </w:t>
            </w:r>
          </w:p>
        </w:tc>
        <w:tc>
          <w:tcPr>
            <w:tcW w:w="1581" w:type="dxa"/>
            <w:tcBorders>
              <w:top w:val="nil"/>
              <w:left w:val="nil"/>
              <w:bottom w:val="single" w:sz="4" w:space="0" w:color="auto"/>
              <w:right w:val="single" w:sz="8" w:space="0" w:color="auto"/>
            </w:tcBorders>
            <w:hideMark/>
          </w:tcPr>
          <w:p w14:paraId="36AAD96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1.014.600 </w:t>
            </w:r>
          </w:p>
        </w:tc>
      </w:tr>
      <w:tr w:rsidR="00527722" w14:paraId="210B914E" w14:textId="77777777" w:rsidTr="00527722">
        <w:trPr>
          <w:trHeight w:val="214"/>
          <w:jc w:val="center"/>
        </w:trPr>
        <w:tc>
          <w:tcPr>
            <w:tcW w:w="3251" w:type="dxa"/>
            <w:tcBorders>
              <w:top w:val="nil"/>
              <w:left w:val="single" w:sz="8" w:space="0" w:color="auto"/>
              <w:bottom w:val="single" w:sz="8" w:space="0" w:color="auto"/>
              <w:right w:val="nil"/>
            </w:tcBorders>
            <w:shd w:val="clear" w:color="auto" w:fill="FFFFFF"/>
            <w:vAlign w:val="center"/>
            <w:hideMark/>
          </w:tcPr>
          <w:p w14:paraId="177C35FA" w14:textId="77777777" w:rsidR="00527722" w:rsidRDefault="00527722">
            <w:pPr>
              <w:spacing w:line="256" w:lineRule="auto"/>
              <w:jc w:val="center"/>
              <w:rPr>
                <w:rFonts w:ascii="Times New Roman" w:hAnsi="Times New Roman"/>
                <w:b/>
                <w:bCs/>
                <w:color w:val="000000"/>
                <w:sz w:val="20"/>
                <w:lang w:eastAsia="es-CO"/>
              </w:rPr>
            </w:pPr>
            <w:proofErr w:type="gramStart"/>
            <w:r>
              <w:rPr>
                <w:rFonts w:ascii="Times New Roman" w:hAnsi="Times New Roman"/>
                <w:b/>
                <w:bCs/>
                <w:color w:val="000000"/>
                <w:sz w:val="20"/>
                <w:lang w:eastAsia="es-CO"/>
              </w:rPr>
              <w:t>TOTAL</w:t>
            </w:r>
            <w:proofErr w:type="gramEnd"/>
            <w:r>
              <w:rPr>
                <w:rFonts w:ascii="Times New Roman" w:hAnsi="Times New Roman"/>
                <w:b/>
                <w:bCs/>
                <w:color w:val="000000"/>
                <w:sz w:val="20"/>
                <w:lang w:eastAsia="es-CO"/>
              </w:rPr>
              <w:t xml:space="preserve"> DE POBLACION</w:t>
            </w:r>
          </w:p>
        </w:tc>
        <w:tc>
          <w:tcPr>
            <w:tcW w:w="1792" w:type="dxa"/>
            <w:tcBorders>
              <w:top w:val="nil"/>
              <w:left w:val="single" w:sz="8" w:space="0" w:color="auto"/>
              <w:bottom w:val="single" w:sz="8" w:space="0" w:color="auto"/>
              <w:right w:val="single" w:sz="4" w:space="0" w:color="auto"/>
            </w:tcBorders>
            <w:noWrap/>
            <w:hideMark/>
          </w:tcPr>
          <w:p w14:paraId="132F7C0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4.027.255 </w:t>
            </w:r>
          </w:p>
        </w:tc>
        <w:tc>
          <w:tcPr>
            <w:tcW w:w="1163" w:type="dxa"/>
            <w:tcBorders>
              <w:top w:val="nil"/>
              <w:left w:val="nil"/>
              <w:bottom w:val="single" w:sz="8" w:space="0" w:color="auto"/>
              <w:right w:val="single" w:sz="8" w:space="0" w:color="auto"/>
            </w:tcBorders>
            <w:noWrap/>
            <w:hideMark/>
          </w:tcPr>
          <w:p w14:paraId="1FB5177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3.669.820 </w:t>
            </w:r>
          </w:p>
        </w:tc>
        <w:tc>
          <w:tcPr>
            <w:tcW w:w="1581" w:type="dxa"/>
            <w:tcBorders>
              <w:top w:val="nil"/>
              <w:left w:val="nil"/>
              <w:bottom w:val="single" w:sz="8" w:space="0" w:color="auto"/>
              <w:right w:val="single" w:sz="8" w:space="0" w:color="auto"/>
            </w:tcBorders>
            <w:hideMark/>
          </w:tcPr>
          <w:p w14:paraId="0151252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7.697.075 </w:t>
            </w:r>
          </w:p>
        </w:tc>
      </w:tr>
    </w:tbl>
    <w:p w14:paraId="53D21708" w14:textId="77777777" w:rsidR="00527722" w:rsidRDefault="00527722" w:rsidP="00527722">
      <w:pPr>
        <w:pStyle w:val="Prrafodelista"/>
        <w:jc w:val="center"/>
        <w:rPr>
          <w:rFonts w:ascii="Times New Roman" w:hAnsi="Times New Roman"/>
          <w:sz w:val="20"/>
          <w:lang w:eastAsia="es-CO"/>
        </w:rPr>
      </w:pPr>
      <w:r>
        <w:rPr>
          <w:rFonts w:ascii="Times New Roman" w:hAnsi="Times New Roman"/>
          <w:sz w:val="20"/>
          <w:lang w:eastAsia="es-CO"/>
        </w:rPr>
        <w:t>Fuentes: Proyecciones de población para localidades urbanas de Bogotá 2016 – 2020 [</w:t>
      </w:r>
      <w:proofErr w:type="gramStart"/>
      <w:r>
        <w:rPr>
          <w:rFonts w:ascii="Times New Roman" w:hAnsi="Times New Roman"/>
          <w:sz w:val="20"/>
          <w:lang w:eastAsia="es-CO"/>
        </w:rPr>
        <w:t>http://www.sdp.gov.co/sites/default/files/boletin69.pdf ]</w:t>
      </w:r>
      <w:proofErr w:type="gramEnd"/>
    </w:p>
    <w:p w14:paraId="3DCA6E01" w14:textId="77777777" w:rsidR="00527722" w:rsidRDefault="00527722" w:rsidP="00527722">
      <w:pPr>
        <w:jc w:val="left"/>
        <w:rPr>
          <w:rFonts w:ascii="Times New Roman" w:hAnsi="Times New Roman"/>
          <w:szCs w:val="24"/>
          <w:lang w:eastAsia="es-CO"/>
        </w:rPr>
      </w:pPr>
    </w:p>
    <w:p w14:paraId="19EAE14D" w14:textId="77777777" w:rsidR="00527722" w:rsidRDefault="00527722" w:rsidP="00527722">
      <w:pPr>
        <w:rPr>
          <w:rFonts w:ascii="Times New Roman" w:hAnsi="Times New Roman"/>
          <w:szCs w:val="24"/>
          <w:lang w:eastAsia="es-CO"/>
        </w:rPr>
      </w:pPr>
      <w:r>
        <w:rPr>
          <w:rFonts w:ascii="Times New Roman" w:hAnsi="Times New Roman"/>
          <w:szCs w:val="24"/>
          <w:lang w:eastAsia="es-CO"/>
        </w:rPr>
        <w:t>El total de la población se relaciona como urbana, toda vez que la jurisdicción de aplicación de la Secretaria Distrital de Ambiente y por ende la del proyecto es el Perímetro Urbano del Distrito Capital, para el cálculo se omitieron las Localidades se omite la Localidad de Sumapaz por estar fuera de la Jurisdicción de la autoridad ambiental y la Localidad de Candelaria que no presento actividades con potencial afectación del suelo, debido a que sus áreas cuentan con protección por ser de interés histórico.</w:t>
      </w:r>
    </w:p>
    <w:p w14:paraId="62D1FEA5" w14:textId="77777777" w:rsidR="00527722" w:rsidRDefault="00527722" w:rsidP="00527722">
      <w:pPr>
        <w:jc w:val="left"/>
        <w:rPr>
          <w:rFonts w:ascii="Times New Roman" w:hAnsi="Times New Roman"/>
          <w:szCs w:val="24"/>
          <w:lang w:eastAsia="es-CO"/>
        </w:rPr>
      </w:pPr>
    </w:p>
    <w:p w14:paraId="2D22D835" w14:textId="77777777" w:rsidR="00527722" w:rsidRDefault="00527722" w:rsidP="00527722">
      <w:pPr>
        <w:rPr>
          <w:rFonts w:ascii="Times New Roman" w:hAnsi="Times New Roman"/>
          <w:szCs w:val="24"/>
          <w:lang w:eastAsia="es-CO"/>
        </w:rPr>
      </w:pPr>
      <w:r>
        <w:rPr>
          <w:rFonts w:ascii="Times New Roman" w:hAnsi="Times New Roman"/>
          <w:szCs w:val="24"/>
          <w:lang w:eastAsia="es-CO"/>
        </w:rPr>
        <w:t xml:space="preserve">Se determina que toda vez que la protección de suelo y sus condiciones y el establecimiento de herramientas de diagnóstico y conocimiento de las condiciones del suelo, favorece al total de la población bogotana que ocupa las localidades sobre las cuales se determinaron los 1004 predios afectados en la línea base, de acuerdo con el visor de proyección de poblaciones de la </w:t>
      </w:r>
      <w:proofErr w:type="gramStart"/>
      <w:r>
        <w:rPr>
          <w:rFonts w:ascii="Times New Roman" w:hAnsi="Times New Roman"/>
          <w:szCs w:val="24"/>
          <w:lang w:eastAsia="es-CO"/>
        </w:rPr>
        <w:t>Secretaria</w:t>
      </w:r>
      <w:proofErr w:type="gramEnd"/>
      <w:r>
        <w:rPr>
          <w:rFonts w:ascii="Times New Roman" w:hAnsi="Times New Roman"/>
          <w:szCs w:val="24"/>
          <w:lang w:eastAsia="es-CO"/>
        </w:rPr>
        <w:t xml:space="preserve"> Distrital de Planeación la población que recibiría el beneficio seria de 7.697.075 habitantes de Bogotá.</w:t>
      </w:r>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00584DC6" w14:textId="77777777" w:rsidR="003B1BD0"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w:t>
            </w:r>
            <w:proofErr w:type="gramStart"/>
            <w:r w:rsidRPr="0071369E">
              <w:rPr>
                <w:rFonts w:ascii="Times New Roman" w:hAnsi="Times New Roman"/>
                <w:b/>
                <w:color w:val="FFFFFF" w:themeColor="background1"/>
                <w:sz w:val="18"/>
                <w:szCs w:val="18"/>
              </w:rPr>
              <w:t xml:space="preserve">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w:t>
            </w:r>
            <w:proofErr w:type="gramEnd"/>
            <w:r w:rsidRPr="0071369E">
              <w:rPr>
                <w:rFonts w:ascii="Times New Roman" w:hAnsi="Times New Roman"/>
                <w:b/>
                <w:color w:val="FFFFFF" w:themeColor="background1"/>
                <w:sz w:val="18"/>
                <w:szCs w:val="18"/>
              </w:rPr>
              <w:t xml:space="preserve">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7EB0BB39"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06ADC2A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2CBB74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3FDED8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4A1DD33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6A7A9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7BF9EED5"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CF7CB" w14:textId="4AEEED8B"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lastRenderedPageBreak/>
              <w:t>6 - 13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E9B02FB" w14:textId="03D1FEE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CE4806" w14:textId="6FB7D1E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ADFD26" w14:textId="6E692BF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D57518" w14:textId="621CBEF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6648F557"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3E5F76" w14:textId="64A3B2D2"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E10664" w14:textId="4D81C29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BED99C" w14:textId="390745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AF00BF" w14:textId="657C34B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BC9FBD" w14:textId="360832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1C5F0BCF"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99B26C" w14:textId="73819205"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5E8C69" w14:textId="3FC7625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F3D744F" w14:textId="4ED30E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A3BE36" w14:textId="0681F9B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C4EA59" w14:textId="2CD799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1CEC9186"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073CD2" w14:textId="662480F8"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 xml:space="preserve">60 </w:t>
            </w:r>
            <w:proofErr w:type="gramStart"/>
            <w:r w:rsidRPr="00527722">
              <w:rPr>
                <w:rFonts w:ascii="Times New Roman" w:hAnsi="Times New Roman"/>
                <w:b/>
                <w:bCs/>
                <w:color w:val="000000"/>
                <w:sz w:val="18"/>
                <w:szCs w:val="18"/>
              </w:rPr>
              <w:t>En</w:t>
            </w:r>
            <w:proofErr w:type="gramEnd"/>
            <w:r w:rsidRPr="00527722">
              <w:rPr>
                <w:rFonts w:ascii="Times New Roman" w:hAnsi="Times New Roman"/>
                <w:b/>
                <w:bCs/>
                <w:color w:val="000000"/>
                <w:sz w:val="18"/>
                <w:szCs w:val="18"/>
              </w:rPr>
              <w:t xml:space="preserve"> adelante</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B527B7" w14:textId="11AACED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C1991B" w14:textId="36E2EA2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1B83F0" w14:textId="02FD30E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A17405" w14:textId="1661DC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5F15708F" w14:textId="77777777" w:rsidTr="00527722">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139353A4" w:rsidR="00527722" w:rsidRPr="00527722" w:rsidRDefault="00527722" w:rsidP="00527722">
            <w:pPr>
              <w:jc w:val="center"/>
              <w:rPr>
                <w:rFonts w:ascii="Times New Roman" w:hAnsi="Times New Roman"/>
                <w:b/>
                <w:bCs/>
                <w:i/>
                <w:iCs/>
                <w:sz w:val="18"/>
                <w:szCs w:val="18"/>
              </w:rPr>
            </w:pPr>
            <w:proofErr w:type="gramStart"/>
            <w:r w:rsidRPr="00527722">
              <w:rPr>
                <w:rFonts w:ascii="Times New Roman" w:hAnsi="Times New Roman"/>
                <w:b/>
                <w:bCs/>
                <w:i/>
                <w:iCs/>
                <w:color w:val="000000"/>
                <w:sz w:val="18"/>
                <w:szCs w:val="18"/>
              </w:rPr>
              <w:t>TOTAL</w:t>
            </w:r>
            <w:proofErr w:type="gramEnd"/>
            <w:r w:rsidRPr="00527722">
              <w:rPr>
                <w:rFonts w:ascii="Times New Roman" w:hAnsi="Times New Roman"/>
                <w:b/>
                <w:bCs/>
                <w:i/>
                <w:iCs/>
                <w:color w:val="000000"/>
                <w:sz w:val="18"/>
                <w:szCs w:val="18"/>
              </w:rPr>
              <w:t xml:space="preserve"> DE POBLACION DE REFERENCIA</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0DEAA9A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41333D43"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686CE0C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5EA9049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1325B21B" w14:textId="6EAE4F5D" w:rsidR="00F550E3" w:rsidRPr="00823F67" w:rsidRDefault="00527722" w:rsidP="004D49E7">
      <w:pPr>
        <w:pBdr>
          <w:top w:val="nil"/>
          <w:left w:val="nil"/>
          <w:bottom w:val="nil"/>
          <w:right w:val="nil"/>
          <w:between w:val="nil"/>
        </w:pBdr>
        <w:jc w:val="center"/>
        <w:rPr>
          <w:rFonts w:ascii="Times New Roman" w:hAnsi="Times New Roman"/>
          <w:i/>
          <w:iCs/>
          <w:sz w:val="18"/>
          <w:szCs w:val="18"/>
        </w:rPr>
      </w:pPr>
      <w:r w:rsidRPr="00527722">
        <w:rPr>
          <w:rFonts w:ascii="Times New Roman" w:hAnsi="Times New Roman"/>
          <w:i/>
          <w:iCs/>
          <w:sz w:val="18"/>
          <w:szCs w:val="18"/>
        </w:rPr>
        <w:t>Fuentes: SDA – Ficha de Formulación MGA 2020</w:t>
      </w:r>
    </w:p>
    <w:p w14:paraId="19002F0C" w14:textId="77777777" w:rsidR="003B1BD0" w:rsidRPr="00837092"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224E9EFD"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3FAEEE36"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554A0C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57113E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465BEB1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E1ACC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244F4EB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A2DE4D" w14:textId="33AEA783"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6 - 13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37065D" w14:textId="642B379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FC082E" w14:textId="304B3FF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D2CA37" w14:textId="034FBE3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A48356" w14:textId="484CDD0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0439591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AA1B90" w14:textId="6A92EB61"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F04FA9" w14:textId="06365F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2CD30D" w14:textId="7630E1B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A9463C" w14:textId="64A11B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F81B39" w14:textId="1BF3CE8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504A59D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93F919" w14:textId="73473A3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C7F232" w14:textId="09D1DC9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A35842" w14:textId="1C9C54D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7DABA1" w14:textId="3A5B12D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2DF62F" w14:textId="5979534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43D0931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755F3B" w14:textId="1E7BC86C"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 xml:space="preserve">60 </w:t>
            </w:r>
            <w:proofErr w:type="gramStart"/>
            <w:r w:rsidRPr="00527722">
              <w:rPr>
                <w:rFonts w:ascii="Times New Roman" w:hAnsi="Times New Roman"/>
                <w:b/>
                <w:bCs/>
                <w:color w:val="000000"/>
                <w:sz w:val="18"/>
                <w:szCs w:val="18"/>
              </w:rPr>
              <w:t>En</w:t>
            </w:r>
            <w:proofErr w:type="gramEnd"/>
            <w:r w:rsidRPr="00527722">
              <w:rPr>
                <w:rFonts w:ascii="Times New Roman" w:hAnsi="Times New Roman"/>
                <w:b/>
                <w:bCs/>
                <w:color w:val="000000"/>
                <w:sz w:val="18"/>
                <w:szCs w:val="18"/>
              </w:rPr>
              <w:t xml:space="preserve"> adelante</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D3237D" w14:textId="47B9BD6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055011" w14:textId="270B5B7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DD9E53" w14:textId="54746DF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0FC3A0" w14:textId="04B2B61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20F97E29" w14:textId="77777777" w:rsidTr="00527722">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14620027" w:rsidR="00527722" w:rsidRPr="00527722" w:rsidRDefault="00527722" w:rsidP="00527722">
            <w:pPr>
              <w:jc w:val="center"/>
              <w:rPr>
                <w:rFonts w:ascii="Times New Roman" w:hAnsi="Times New Roman"/>
                <w:sz w:val="18"/>
                <w:szCs w:val="18"/>
              </w:rPr>
            </w:pPr>
            <w:proofErr w:type="gramStart"/>
            <w:r w:rsidRPr="00527722">
              <w:rPr>
                <w:rFonts w:ascii="Times New Roman" w:hAnsi="Times New Roman"/>
                <w:b/>
                <w:bCs/>
                <w:i/>
                <w:iCs/>
                <w:color w:val="000000"/>
                <w:sz w:val="18"/>
                <w:szCs w:val="18"/>
              </w:rPr>
              <w:t>TOTAL</w:t>
            </w:r>
            <w:proofErr w:type="gramEnd"/>
            <w:r w:rsidRPr="00527722">
              <w:rPr>
                <w:rFonts w:ascii="Times New Roman" w:hAnsi="Times New Roman"/>
                <w:b/>
                <w:bCs/>
                <w:i/>
                <w:iCs/>
                <w:color w:val="000000"/>
                <w:sz w:val="18"/>
                <w:szCs w:val="18"/>
              </w:rPr>
              <w:t xml:space="preserve"> DE POBLACION AFECTADA POR EL PROBLEMA</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6D2C8E3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385262B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4EE213E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17E60C7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73AB6153" w14:textId="3A767D36" w:rsidR="00837092" w:rsidRPr="0018003D" w:rsidRDefault="00527722">
      <w:pPr>
        <w:jc w:val="center"/>
        <w:rPr>
          <w:rFonts w:ascii="Times New Roman" w:hAnsi="Times New Roman"/>
          <w:sz w:val="22"/>
          <w:szCs w:val="22"/>
          <w:shd w:val="clear" w:color="auto" w:fill="FF9900"/>
        </w:rPr>
      </w:pPr>
      <w:r w:rsidRPr="00527722">
        <w:rPr>
          <w:rFonts w:ascii="Times New Roman" w:hAnsi="Times New Roman"/>
          <w:i/>
          <w:iCs/>
          <w:sz w:val="18"/>
          <w:szCs w:val="18"/>
        </w:rPr>
        <w:t>Fuentes: SDA – Ficha de Formulación MGA 2020</w:t>
      </w:r>
    </w:p>
    <w:p w14:paraId="5FD36E61" w14:textId="42891706" w:rsidR="00F550E3" w:rsidRPr="00FD18A0"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2"/>
        </w:rPr>
      </w:pPr>
      <w:hyperlink r:id="rId19">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5EE7CC3C" w14:textId="77777777" w:rsidR="00527722" w:rsidRDefault="00527722" w:rsidP="00527722">
      <w:pPr>
        <w:rPr>
          <w:rFonts w:ascii="Times New Roman" w:hAnsi="Times New Roman"/>
          <w:szCs w:val="24"/>
          <w:lang w:eastAsia="es-CO"/>
        </w:rPr>
      </w:pPr>
      <w:r>
        <w:rPr>
          <w:rFonts w:ascii="Times New Roman" w:hAnsi="Times New Roman"/>
          <w:szCs w:val="24"/>
          <w:lang w:eastAsia="es-CO"/>
        </w:rPr>
        <w:t>Con base en el análisis de la problemática y el árbol de objetivos presentado en la Figura 1., se aplicó la metodología de árbol de objetivos del marco lógico que se muestra en la Figura 5, donde se identificó como objetivo central:</w:t>
      </w:r>
    </w:p>
    <w:p w14:paraId="7D9312CD" w14:textId="77777777" w:rsidR="00527722" w:rsidRDefault="00527722" w:rsidP="00527722">
      <w:pPr>
        <w:rPr>
          <w:rFonts w:ascii="Times New Roman" w:hAnsi="Times New Roman"/>
          <w:szCs w:val="24"/>
          <w:lang w:eastAsia="es-CO"/>
        </w:rPr>
      </w:pPr>
    </w:p>
    <w:p w14:paraId="0E455017" w14:textId="77777777" w:rsidR="00527722" w:rsidRDefault="00527722" w:rsidP="00527722">
      <w:pPr>
        <w:jc w:val="center"/>
        <w:rPr>
          <w:rFonts w:ascii="Times New Roman" w:hAnsi="Times New Roman"/>
          <w:sz w:val="22"/>
          <w:szCs w:val="22"/>
        </w:rPr>
      </w:pPr>
      <w:r>
        <w:rPr>
          <w:rFonts w:ascii="Times New Roman" w:hAnsi="Times New Roman"/>
          <w:b/>
          <w:bCs/>
          <w:i/>
          <w:iCs/>
          <w:sz w:val="22"/>
          <w:szCs w:val="22"/>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141E4186"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67C469E0"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Figura 5. Árbol de Objetivos</w:t>
      </w:r>
    </w:p>
    <w:p w14:paraId="751E990D" w14:textId="2C3C5EDF" w:rsidR="00527722" w:rsidRDefault="00527722" w:rsidP="00527722">
      <w:pPr>
        <w:jc w:val="center"/>
        <w:rPr>
          <w:rFonts w:ascii="Times New Roman" w:hAnsi="Times New Roman"/>
          <w:sz w:val="22"/>
          <w:szCs w:val="22"/>
        </w:rPr>
      </w:pPr>
      <w:r>
        <w:rPr>
          <w:rFonts w:ascii="Times New Roman" w:hAnsi="Times New Roman"/>
          <w:noProof/>
          <w:lang w:eastAsia="es-CO"/>
        </w:rPr>
        <w:drawing>
          <wp:inline distT="0" distB="0" distL="0" distR="0" wp14:anchorId="5A9345C0" wp14:editId="61412521">
            <wp:extent cx="8752840" cy="5343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70965" cy="5354590"/>
                    </a:xfrm>
                    <a:prstGeom prst="rect">
                      <a:avLst/>
                    </a:prstGeom>
                    <a:noFill/>
                    <a:ln>
                      <a:noFill/>
                    </a:ln>
                  </pic:spPr>
                </pic:pic>
              </a:graphicData>
            </a:graphic>
          </wp:inline>
        </w:drawing>
      </w:r>
    </w:p>
    <w:p w14:paraId="31E2906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BCA3228" w14:textId="77777777" w:rsidR="00527722" w:rsidRDefault="00527722" w:rsidP="00527722">
      <w:pPr>
        <w:jc w:val="left"/>
        <w:rPr>
          <w:rFonts w:ascii="Times New Roman" w:hAnsi="Times New Roman"/>
          <w:szCs w:val="24"/>
          <w:lang w:eastAsia="es-CO"/>
        </w:rPr>
        <w:sectPr w:rsidR="00527722">
          <w:pgSz w:w="15840" w:h="12240" w:orient="landscape"/>
          <w:pgMar w:top="1276" w:right="1418" w:bottom="1276" w:left="993" w:header="709" w:footer="709" w:gutter="0"/>
          <w:cols w:space="720"/>
        </w:sectPr>
      </w:pPr>
    </w:p>
    <w:p w14:paraId="65AFDEFD" w14:textId="72A7739A" w:rsidR="00F550E3" w:rsidRPr="00BC3570"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lastRenderedPageBreak/>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AE78A9A"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Como indicador principal del objetivo se propuso verificar el Numero de predios diagnosticados con actividades de evaluación, control y seguimiento ambiental, asociados a actividades industriales, de servicios y con antecedentes de extracción de minerales con afectación al suelo y al agua subterránea del acuífero somero, estableciendo como meta 1000 de los predios identificados que fueron referenciados en la magnitud del problema y en la línea base del proyecto. Cabe resaltar que las actividades de evaluación, control y seguimiento garantizan la mitigación de la afectación (potencial o constituida) al suelo y al agua subterránea del acuífero somero, fomentando asimismo la promoción de prácticas ambientales de intervención a suelos adecuada.</w:t>
      </w:r>
      <w:r>
        <w:rPr>
          <w:rFonts w:ascii="Times New Roman" w:hAnsi="Times New Roman"/>
        </w:rPr>
        <w:t xml:space="preserve"> </w:t>
      </w:r>
    </w:p>
    <w:p w14:paraId="1FBD3879" w14:textId="77777777" w:rsidR="00527722" w:rsidRDefault="00527722" w:rsidP="00527722">
      <w:pPr>
        <w:rPr>
          <w:rFonts w:ascii="Times New Roman" w:hAnsi="Times New Roman"/>
          <w:bCs/>
          <w:szCs w:val="24"/>
          <w:lang w:eastAsia="es-CO"/>
        </w:rPr>
      </w:pPr>
    </w:p>
    <w:p w14:paraId="392C3D9E"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7. Indicador de Objetivo General. </w:t>
      </w:r>
    </w:p>
    <w:tbl>
      <w:tblPr>
        <w:tblW w:w="9360" w:type="dxa"/>
        <w:tblInd w:w="-5" w:type="dxa"/>
        <w:tblLayout w:type="fixed"/>
        <w:tblCellMar>
          <w:left w:w="70" w:type="dxa"/>
          <w:right w:w="70" w:type="dxa"/>
        </w:tblCellMar>
        <w:tblLook w:val="04A0" w:firstRow="1" w:lastRow="0" w:firstColumn="1" w:lastColumn="0" w:noHBand="0" w:noVBand="1"/>
      </w:tblPr>
      <w:tblGrid>
        <w:gridCol w:w="2411"/>
        <w:gridCol w:w="1419"/>
        <w:gridCol w:w="1418"/>
        <w:gridCol w:w="1134"/>
        <w:gridCol w:w="2978"/>
      </w:tblGrid>
      <w:tr w:rsidR="00527722" w14:paraId="7FCD838A" w14:textId="77777777" w:rsidTr="00527722">
        <w:trPr>
          <w:trHeight w:val="344"/>
        </w:trPr>
        <w:tc>
          <w:tcPr>
            <w:tcW w:w="24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44B10F"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3498468"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6982A3"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113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8C5A6F7"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97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1A34651"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527722" w14:paraId="5ECC4750" w14:textId="77777777" w:rsidTr="00527722">
        <w:trPr>
          <w:trHeight w:val="2196"/>
        </w:trPr>
        <w:tc>
          <w:tcPr>
            <w:tcW w:w="2410" w:type="dxa"/>
            <w:tcBorders>
              <w:top w:val="nil"/>
              <w:left w:val="single" w:sz="4" w:space="0" w:color="auto"/>
              <w:bottom w:val="single" w:sz="4" w:space="0" w:color="auto"/>
              <w:right w:val="single" w:sz="4" w:space="0" w:color="auto"/>
            </w:tcBorders>
            <w:vAlign w:val="center"/>
            <w:hideMark/>
          </w:tcPr>
          <w:p w14:paraId="0A3C377A" w14:textId="1DA0131B" w:rsidR="00527722" w:rsidRDefault="00527722">
            <w:pPr>
              <w:spacing w:line="256" w:lineRule="auto"/>
              <w:rPr>
                <w:rFonts w:ascii="Times New Roman" w:hAnsi="Times New Roman"/>
                <w:sz w:val="20"/>
                <w:lang w:eastAsia="es-CO"/>
              </w:rPr>
            </w:pPr>
            <w:r>
              <w:rPr>
                <w:rFonts w:ascii="Times New Roman" w:hAnsi="Times New Roman"/>
                <w:sz w:val="20"/>
                <w:lang w:eastAsia="es-CO"/>
              </w:rPr>
              <w:t>320102100 -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418" w:type="dxa"/>
            <w:tcBorders>
              <w:top w:val="nil"/>
              <w:left w:val="nil"/>
              <w:bottom w:val="single" w:sz="4" w:space="0" w:color="auto"/>
              <w:right w:val="single" w:sz="4" w:space="0" w:color="auto"/>
            </w:tcBorders>
            <w:vAlign w:val="center"/>
            <w:hideMark/>
          </w:tcPr>
          <w:p w14:paraId="4328FDF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Número de predios diagnosticados y controlados</w:t>
            </w:r>
          </w:p>
        </w:tc>
        <w:tc>
          <w:tcPr>
            <w:tcW w:w="1417" w:type="dxa"/>
            <w:tcBorders>
              <w:top w:val="nil"/>
              <w:left w:val="nil"/>
              <w:bottom w:val="single" w:sz="4" w:space="0" w:color="auto"/>
              <w:right w:val="single" w:sz="4" w:space="0" w:color="auto"/>
            </w:tcBorders>
            <w:noWrap/>
            <w:vAlign w:val="center"/>
            <w:hideMark/>
          </w:tcPr>
          <w:p w14:paraId="16A4B55E" w14:textId="0B53E3A6"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1000 predios con documentos de instrumento técnico de evaluación control y seguimiento</w:t>
            </w:r>
          </w:p>
        </w:tc>
        <w:tc>
          <w:tcPr>
            <w:tcW w:w="1134" w:type="dxa"/>
            <w:tcBorders>
              <w:top w:val="nil"/>
              <w:left w:val="nil"/>
              <w:bottom w:val="single" w:sz="4" w:space="0" w:color="auto"/>
              <w:right w:val="single" w:sz="4" w:space="0" w:color="auto"/>
            </w:tcBorders>
            <w:vAlign w:val="center"/>
            <w:hideMark/>
          </w:tcPr>
          <w:p w14:paraId="47CEA48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Informe</w:t>
            </w:r>
          </w:p>
        </w:tc>
        <w:tc>
          <w:tcPr>
            <w:tcW w:w="2977" w:type="dxa"/>
            <w:tcBorders>
              <w:top w:val="nil"/>
              <w:left w:val="nil"/>
              <w:bottom w:val="single" w:sz="4" w:space="0" w:color="auto"/>
              <w:right w:val="single" w:sz="4" w:space="0" w:color="auto"/>
            </w:tcBorders>
            <w:vAlign w:val="center"/>
          </w:tcPr>
          <w:p w14:paraId="5D8B810C"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4BE2A2AB" w14:textId="77777777" w:rsidR="00527722" w:rsidRDefault="00527722">
            <w:pPr>
              <w:spacing w:line="256" w:lineRule="auto"/>
              <w:rPr>
                <w:rFonts w:ascii="Times New Roman" w:hAnsi="Times New Roman"/>
                <w:sz w:val="20"/>
                <w:lang w:eastAsia="es-CO"/>
              </w:rPr>
            </w:pPr>
          </w:p>
          <w:p w14:paraId="508756E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731CF0FE"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5638C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bl>
    <w:p w14:paraId="5DD8A3EC"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AD516E1" w14:textId="77777777" w:rsidR="00527722" w:rsidRDefault="00527722" w:rsidP="00527722">
      <w:pPr>
        <w:rPr>
          <w:rFonts w:ascii="Times New Roman" w:hAnsi="Times New Roman"/>
          <w:iCs/>
          <w:szCs w:val="24"/>
          <w:lang w:eastAsia="es-CO"/>
        </w:rPr>
      </w:pPr>
      <w:r>
        <w:rPr>
          <w:rFonts w:ascii="Times New Roman" w:hAnsi="Times New Roman"/>
          <w:iCs/>
          <w:szCs w:val="24"/>
          <w:lang w:eastAsia="es-CO"/>
        </w:rPr>
        <w:t>Establecida de acuerdo con la línea del árbol de objetivos (Figura 5) se determinó una meta plan de desarrollo acorde con la magnitud y la descripción del problema central, definiendo de acuerdo con el planteamiento del Plan Distrital de Desarrollo, 1000 predios como meta de la siguiente manera:</w:t>
      </w:r>
    </w:p>
    <w:p w14:paraId="6BDB9306" w14:textId="77777777" w:rsidR="00527722" w:rsidRDefault="00527722" w:rsidP="00527722">
      <w:pPr>
        <w:rPr>
          <w:rFonts w:ascii="Times New Roman" w:hAnsi="Times New Roman"/>
          <w:b/>
          <w:bCs/>
          <w:i/>
          <w:szCs w:val="24"/>
          <w:lang w:eastAsia="es-CO"/>
        </w:rPr>
      </w:pPr>
    </w:p>
    <w:p w14:paraId="61A42C7D" w14:textId="77777777" w:rsidR="00527722" w:rsidRDefault="00527722" w:rsidP="00527722">
      <w:pPr>
        <w:rPr>
          <w:rFonts w:ascii="Times New Roman" w:hAnsi="Times New Roman"/>
          <w:b/>
          <w:bCs/>
          <w:i/>
          <w:sz w:val="22"/>
          <w:szCs w:val="22"/>
          <w:lang w:eastAsia="es-CO"/>
        </w:rPr>
      </w:pPr>
      <w:r>
        <w:rPr>
          <w:rFonts w:ascii="Times New Roman" w:hAnsi="Times New Roman"/>
          <w:b/>
          <w:bCs/>
          <w:i/>
          <w:sz w:val="22"/>
          <w:szCs w:val="22"/>
          <w:lang w:eastAsia="es-CO"/>
        </w:rPr>
        <w:t>Realizar el diagnóstico y control ambiental a 1000 predios de sitios contaminados, suelos degradados y pasivos ambientales</w:t>
      </w:r>
    </w:p>
    <w:p w14:paraId="724B930B" w14:textId="77777777" w:rsidR="00527722" w:rsidRDefault="00527722" w:rsidP="00527722">
      <w:pPr>
        <w:rPr>
          <w:rFonts w:ascii="Times New Roman" w:hAnsi="Times New Roman"/>
          <w:b/>
          <w:bCs/>
          <w:i/>
          <w:sz w:val="22"/>
          <w:szCs w:val="22"/>
          <w:lang w:eastAsia="es-CO"/>
        </w:rPr>
      </w:pPr>
    </w:p>
    <w:p w14:paraId="585512D1" w14:textId="77777777" w:rsidR="00527722" w:rsidRDefault="00527722" w:rsidP="00527722">
      <w:pPr>
        <w:rPr>
          <w:rFonts w:ascii="Times New Roman" w:hAnsi="Times New Roman"/>
          <w:iCs/>
          <w:sz w:val="22"/>
          <w:szCs w:val="22"/>
          <w:lang w:eastAsia="es-CO"/>
        </w:rPr>
      </w:pPr>
      <w:r>
        <w:rPr>
          <w:rFonts w:ascii="Times New Roman" w:hAnsi="Times New Roman"/>
          <w:iCs/>
          <w:sz w:val="22"/>
          <w:szCs w:val="22"/>
          <w:u w:val="single"/>
          <w:lang w:eastAsia="es-CO"/>
        </w:rPr>
        <w:t>Cabe destacar que si bien la línea base es determinada sobre la magnitud de 1004 predios identificados afectación (potencial o constituida) la meta plan de desarrollo plantea un límite de 1000 predios como el mínimo de diagnóstico, dejando a la vista la posibilidad de nuevas identificaciones y diagnósticos acordes a las dinámicas de los sectores industrial, de servicio y minero en Bogotá D.C</w:t>
      </w:r>
      <w:r>
        <w:rPr>
          <w:rFonts w:ascii="Times New Roman" w:hAnsi="Times New Roman"/>
          <w:iCs/>
          <w:sz w:val="22"/>
          <w:szCs w:val="22"/>
          <w:lang w:eastAsia="es-CO"/>
        </w:rPr>
        <w:t>.</w:t>
      </w:r>
    </w:p>
    <w:p w14:paraId="7A50E1E8" w14:textId="77777777" w:rsidR="00F550E3" w:rsidRPr="006A02E4"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A033013"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 xml:space="preserve">Teniendo en cuenta una línea base de 1000 predios con antecedentes de desarrollo de actividades industriales, de servicios o explotación minera, identificados con afectaciones (potenciales o constituidas) al suelo y al agua subterránea del acuífero somero, se propone realizar a través de las actividades misionales de evaluación y seguimiento a instrumentos ambientales, control y vigilancia ambiental e inspección de predios, el diagnóstico de las condiciones físicas, químicas </w:t>
      </w:r>
      <w:r>
        <w:rPr>
          <w:rFonts w:ascii="Times New Roman" w:hAnsi="Times New Roman"/>
          <w:bCs/>
          <w:szCs w:val="24"/>
          <w:lang w:eastAsia="es-CO"/>
        </w:rPr>
        <w:lastRenderedPageBreak/>
        <w:t>y geológicas de los predios citados,   para desarrollar un modelo conceptual y robusto que permita alimentar modelaciones matemáticas y estandarizar información para toma de decisiones para la planificación urbanística y el manejo adecuado de los recursos naturales suelo y agua subterránea del acuífero somero.</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3495797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6A02E4">
        <w:rPr>
          <w:rFonts w:ascii="Times New Roman" w:hAnsi="Times New Roman"/>
          <w:b/>
          <w:color w:val="000000"/>
          <w:sz w:val="28"/>
          <w:szCs w:val="22"/>
        </w:rPr>
        <w:t>Anualización</w:t>
      </w:r>
    </w:p>
    <w:p w14:paraId="2A1B9B85" w14:textId="77777777" w:rsidR="000575DC"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01BD22A4"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Teniendo como magnitud definida de alcance 1000 predios, se propone una distribución normalizada que tendrá en cuenta los siguientes factores de análisis:</w:t>
      </w:r>
    </w:p>
    <w:p w14:paraId="4FE69FB4" w14:textId="77777777" w:rsidR="00527722" w:rsidRDefault="00527722" w:rsidP="00527722">
      <w:pPr>
        <w:rPr>
          <w:rFonts w:ascii="Times New Roman" w:hAnsi="Times New Roman"/>
          <w:bCs/>
          <w:szCs w:val="24"/>
          <w:lang w:eastAsia="es-CO"/>
        </w:rPr>
      </w:pPr>
    </w:p>
    <w:p w14:paraId="5D89AA16" w14:textId="77777777" w:rsidR="00527722" w:rsidRDefault="00527722" w:rsidP="00527722">
      <w:pPr>
        <w:pStyle w:val="Prrafodelista"/>
        <w:numPr>
          <w:ilvl w:val="0"/>
          <w:numId w:val="34"/>
        </w:numPr>
        <w:contextualSpacing/>
        <w:rPr>
          <w:rFonts w:ascii="Times New Roman" w:hAnsi="Times New Roman"/>
          <w:bCs/>
          <w:szCs w:val="24"/>
          <w:lang w:eastAsia="es-CO"/>
        </w:rPr>
      </w:pPr>
      <w:r>
        <w:rPr>
          <w:rFonts w:ascii="Times New Roman" w:hAnsi="Times New Roman"/>
          <w:bCs/>
          <w:szCs w:val="24"/>
          <w:lang w:eastAsia="es-CO"/>
        </w:rPr>
        <w:t>Como punto de partida se realiza una distribución normalizada que involucra 251 predios por año.</w:t>
      </w:r>
    </w:p>
    <w:p w14:paraId="054EFBD7" w14:textId="77777777" w:rsidR="00527722" w:rsidRDefault="00527722" w:rsidP="00527722">
      <w:pPr>
        <w:pStyle w:val="Prrafodelista"/>
        <w:ind w:left="720"/>
        <w:contextualSpacing/>
        <w:rPr>
          <w:rFonts w:ascii="Times New Roman" w:hAnsi="Times New Roman"/>
          <w:bCs/>
          <w:szCs w:val="24"/>
          <w:lang w:eastAsia="es-CO"/>
        </w:rPr>
      </w:pPr>
    </w:p>
    <w:p w14:paraId="42202585"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Los años de inicio 2020 y 2024 solo contaran con una ejecución presupuestal de 6 meses, adicional se tiene en cuenta que en la etapa inicial se deberán ajustar programaciones y planeación logística que permita establecer la línea de manejo del proyecto por lo cual el año 2020 se establece con un objetivo del 40% de la magnitud anual de 251 predios, quedando con una meta de 100 predios. El ejercicio se emula para el año 2024 teniendo como premisa que el periodo involucrara la fase final de implementación del modelo conceptual de captura de información sobre las condiciones físicas químicas y geológicas del suelo y el agua subterránea del acuífero somero. </w:t>
      </w:r>
    </w:p>
    <w:p w14:paraId="664C44EB" w14:textId="77777777" w:rsidR="00527722" w:rsidRDefault="00527722" w:rsidP="00527722">
      <w:pPr>
        <w:pStyle w:val="Prrafodelista"/>
        <w:rPr>
          <w:rFonts w:ascii="Times New Roman" w:hAnsi="Times New Roman"/>
          <w:b/>
          <w:szCs w:val="24"/>
          <w:lang w:eastAsia="es-CO"/>
        </w:rPr>
      </w:pPr>
    </w:p>
    <w:p w14:paraId="16FCD0E7"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Para los años 2021, 2022 y 2023 se realiza una progresión en el número de predios diagnosticados, teniendo en cuenta </w:t>
      </w:r>
      <w:proofErr w:type="gramStart"/>
      <w:r>
        <w:rPr>
          <w:rFonts w:ascii="Times New Roman" w:hAnsi="Times New Roman"/>
          <w:bCs/>
          <w:szCs w:val="24"/>
          <w:lang w:eastAsia="es-CO"/>
        </w:rPr>
        <w:t>que</w:t>
      </w:r>
      <w:proofErr w:type="gramEnd"/>
      <w:r>
        <w:rPr>
          <w:rFonts w:ascii="Times New Roman" w:hAnsi="Times New Roman"/>
          <w:bCs/>
          <w:szCs w:val="24"/>
          <w:lang w:eastAsia="es-CO"/>
        </w:rPr>
        <w:t xml:space="preserve"> con el desarrollo de los estudios de sitio y sus ajustes, y teniendo en cuenta que el adecuado diagnóstico y levantamiento de información involucra, tiempos de planeación, monitoreo y análisis por parte de los usuarios de los predios en estudio. De tal manera que la progresión se realiza sobre los 804 predios asignando 30% (241 predios) a los años 2021 y 2022, y 40% (318) al año 2023.</w:t>
      </w:r>
    </w:p>
    <w:p w14:paraId="7BE6E61C" w14:textId="77777777" w:rsidR="00527722" w:rsidRDefault="00527722" w:rsidP="00527722">
      <w:pPr>
        <w:jc w:val="left"/>
        <w:rPr>
          <w:rFonts w:ascii="Times New Roman" w:hAnsi="Times New Roman"/>
          <w:b/>
          <w:szCs w:val="24"/>
          <w:lang w:eastAsia="es-CO"/>
        </w:rPr>
      </w:pPr>
    </w:p>
    <w:p w14:paraId="6416C937" w14:textId="3F2C5081" w:rsidR="00527722" w:rsidRDefault="00527722" w:rsidP="00527722">
      <w:pPr>
        <w:jc w:val="center"/>
        <w:rPr>
          <w:rFonts w:ascii="Times New Roman" w:hAnsi="Times New Roman"/>
          <w:sz w:val="22"/>
          <w:szCs w:val="22"/>
        </w:rPr>
      </w:pPr>
      <w:r>
        <w:rPr>
          <w:rFonts w:ascii="Times New Roman" w:hAnsi="Times New Roman"/>
          <w:sz w:val="22"/>
          <w:szCs w:val="22"/>
        </w:rPr>
        <w:t xml:space="preserve">Tabla 8. Anualización de la meta plan de desarrollo 2020 – 2024. </w:t>
      </w:r>
    </w:p>
    <w:p w14:paraId="22192F0B" w14:textId="3B2E8C18" w:rsidR="00B935D8" w:rsidRDefault="00B935D8" w:rsidP="00527722">
      <w:pPr>
        <w:jc w:val="center"/>
        <w:rPr>
          <w:rFonts w:ascii="Times New Roman" w:hAnsi="Times New Roman"/>
          <w:b/>
          <w:sz w:val="22"/>
          <w:szCs w:val="22"/>
        </w:rPr>
      </w:pPr>
    </w:p>
    <w:p w14:paraId="03C1390F" w14:textId="26B69ABD" w:rsidR="00B935D8" w:rsidRDefault="00B935D8" w:rsidP="00527722">
      <w:pPr>
        <w:jc w:val="center"/>
        <w:rPr>
          <w:rFonts w:ascii="Times New Roman" w:hAnsi="Times New Roman"/>
          <w:b/>
          <w:sz w:val="22"/>
          <w:szCs w:val="22"/>
        </w:rPr>
      </w:pPr>
    </w:p>
    <w:p w14:paraId="618F77E1" w14:textId="77777777" w:rsidR="00B935D8" w:rsidRDefault="00B935D8" w:rsidP="007B6918">
      <w:pPr>
        <w:rPr>
          <w:rFonts w:ascii="Times New Roman" w:hAnsi="Times New Roman"/>
          <w:b/>
          <w:szCs w:val="24"/>
          <w:lang w:eastAsia="es-CO"/>
        </w:rPr>
      </w:pPr>
    </w:p>
    <w:tbl>
      <w:tblPr>
        <w:tblW w:w="57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651"/>
        <w:gridCol w:w="1162"/>
        <w:gridCol w:w="975"/>
        <w:gridCol w:w="705"/>
        <w:gridCol w:w="705"/>
        <w:gridCol w:w="846"/>
        <w:gridCol w:w="620"/>
        <w:gridCol w:w="846"/>
        <w:gridCol w:w="1038"/>
      </w:tblGrid>
      <w:tr w:rsidR="00527722" w14:paraId="42B91C14" w14:textId="77777777" w:rsidTr="00B935D8">
        <w:trPr>
          <w:cantSplit/>
          <w:trHeight w:val="360"/>
          <w:tblHeader/>
          <w:jc w:val="center"/>
        </w:trPr>
        <w:tc>
          <w:tcPr>
            <w:tcW w:w="1731"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932255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META PLAN DE DESARROLLO</w:t>
            </w:r>
          </w:p>
        </w:tc>
        <w:tc>
          <w:tcPr>
            <w:tcW w:w="551"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73D02737"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MAGNITUD</w:t>
            </w:r>
          </w:p>
        </w:tc>
        <w:tc>
          <w:tcPr>
            <w:tcW w:w="462"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137D5F4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2256"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4BBD92E4"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AÑOS</w:t>
            </w:r>
          </w:p>
        </w:tc>
      </w:tr>
      <w:tr w:rsidR="00B935D8" w14:paraId="2D2C45F7" w14:textId="77777777" w:rsidTr="00B935D8">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27710A5"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3CC65A91"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208D313D" w14:textId="77777777" w:rsidR="00527722" w:rsidRDefault="00527722">
            <w:pPr>
              <w:spacing w:line="256" w:lineRule="auto"/>
              <w:jc w:val="left"/>
              <w:rPr>
                <w:rFonts w:ascii="Times New Roman" w:hAnsi="Times New Roman"/>
                <w:b/>
                <w:color w:val="FFFFFF"/>
                <w:sz w:val="18"/>
                <w:szCs w:val="18"/>
              </w:rPr>
            </w:pPr>
          </w:p>
        </w:tc>
        <w:tc>
          <w:tcPr>
            <w:tcW w:w="334"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3A6AC5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334"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C2EE592"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40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E29C297"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294"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31B0FAC"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40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034F3D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92"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A7BDF24"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Total</w:t>
            </w:r>
          </w:p>
        </w:tc>
      </w:tr>
      <w:tr w:rsidR="00B935D8" w14:paraId="2CC54978" w14:textId="77777777" w:rsidTr="00B935D8">
        <w:trPr>
          <w:cantSplit/>
          <w:trHeight w:val="563"/>
          <w:jc w:val="center"/>
        </w:trPr>
        <w:tc>
          <w:tcPr>
            <w:tcW w:w="1731" w:type="pct"/>
            <w:tcBorders>
              <w:top w:val="single" w:sz="6" w:space="0" w:color="auto"/>
              <w:left w:val="single" w:sz="4" w:space="0" w:color="auto"/>
              <w:bottom w:val="single" w:sz="6" w:space="0" w:color="auto"/>
              <w:right w:val="single" w:sz="6" w:space="0" w:color="auto"/>
            </w:tcBorders>
            <w:vAlign w:val="center"/>
          </w:tcPr>
          <w:p w14:paraId="30B2FE57" w14:textId="77777777" w:rsidR="00B935D8" w:rsidRDefault="00B935D8" w:rsidP="00B935D8">
            <w:pPr>
              <w:spacing w:line="256" w:lineRule="auto"/>
              <w:jc w:val="center"/>
              <w:rPr>
                <w:rFonts w:ascii="Times New Roman" w:hAnsi="Times New Roman"/>
                <w:b/>
                <w:bCs/>
                <w:i/>
                <w:sz w:val="20"/>
                <w:lang w:eastAsia="es-CO"/>
              </w:rPr>
            </w:pPr>
          </w:p>
          <w:p w14:paraId="5DD42193" w14:textId="77777777" w:rsidR="00B935D8" w:rsidRDefault="00B935D8" w:rsidP="00B935D8">
            <w:pPr>
              <w:spacing w:line="256" w:lineRule="auto"/>
              <w:jc w:val="center"/>
              <w:rPr>
                <w:rFonts w:ascii="Times New Roman" w:hAnsi="Times New Roman"/>
                <w:b/>
                <w:bCs/>
                <w:i/>
                <w:sz w:val="20"/>
                <w:lang w:eastAsia="es-CO"/>
              </w:rPr>
            </w:pPr>
            <w:r>
              <w:rPr>
                <w:rFonts w:ascii="Times New Roman" w:hAnsi="Times New Roman"/>
                <w:b/>
                <w:bCs/>
                <w:i/>
                <w:sz w:val="20"/>
                <w:lang w:eastAsia="es-CO"/>
              </w:rPr>
              <w:t>Realizar el diagnóstico y control ambiental a 1000 predios de sitios contaminados, suelos degradados y pasivos ambientales.</w:t>
            </w:r>
          </w:p>
          <w:p w14:paraId="60C0ABA8" w14:textId="77777777" w:rsidR="00B935D8" w:rsidRDefault="00B935D8" w:rsidP="00B935D8">
            <w:pPr>
              <w:spacing w:line="256" w:lineRule="auto"/>
              <w:jc w:val="center"/>
              <w:rPr>
                <w:rFonts w:ascii="Times New Roman" w:hAnsi="Times New Roman"/>
                <w:b/>
                <w:bCs/>
                <w:i/>
                <w:sz w:val="20"/>
                <w:lang w:eastAsia="es-CO"/>
              </w:rPr>
            </w:pPr>
          </w:p>
        </w:tc>
        <w:tc>
          <w:tcPr>
            <w:tcW w:w="551" w:type="pct"/>
            <w:tcBorders>
              <w:top w:val="single" w:sz="6" w:space="0" w:color="auto"/>
              <w:left w:val="single" w:sz="6" w:space="0" w:color="auto"/>
              <w:bottom w:val="single" w:sz="6" w:space="0" w:color="auto"/>
              <w:right w:val="single" w:sz="6" w:space="0" w:color="auto"/>
            </w:tcBorders>
            <w:vAlign w:val="center"/>
          </w:tcPr>
          <w:p w14:paraId="5A863AB3" w14:textId="2E18F9AB" w:rsidR="00B935D8" w:rsidRDefault="00B935D8" w:rsidP="00B935D8">
            <w:pPr>
              <w:spacing w:line="256" w:lineRule="auto"/>
              <w:jc w:val="center"/>
              <w:rPr>
                <w:rFonts w:ascii="Times New Roman" w:hAnsi="Times New Roman"/>
                <w:sz w:val="22"/>
                <w:szCs w:val="22"/>
              </w:rPr>
            </w:pPr>
            <w:r>
              <w:rPr>
                <w:rFonts w:ascii="Times New Roman" w:hAnsi="Times New Roman"/>
                <w:sz w:val="22"/>
                <w:szCs w:val="22"/>
              </w:rPr>
              <w:t xml:space="preserve">1000 predios </w:t>
            </w:r>
          </w:p>
        </w:tc>
        <w:tc>
          <w:tcPr>
            <w:tcW w:w="462" w:type="pct"/>
            <w:tcBorders>
              <w:top w:val="single" w:sz="6" w:space="0" w:color="auto"/>
              <w:left w:val="single" w:sz="6" w:space="0" w:color="auto"/>
              <w:bottom w:val="single" w:sz="6" w:space="0" w:color="auto"/>
              <w:right w:val="single" w:sz="6" w:space="0" w:color="auto"/>
            </w:tcBorders>
            <w:vAlign w:val="center"/>
          </w:tcPr>
          <w:p w14:paraId="6A86C9BB" w14:textId="0F2ED2DE" w:rsidR="00B935D8" w:rsidRDefault="00B935D8" w:rsidP="00B935D8">
            <w:pPr>
              <w:spacing w:line="256" w:lineRule="auto"/>
              <w:jc w:val="center"/>
              <w:rPr>
                <w:rFonts w:ascii="Times New Roman" w:hAnsi="Times New Roman"/>
                <w:sz w:val="22"/>
                <w:szCs w:val="22"/>
              </w:rPr>
            </w:pPr>
            <w:r>
              <w:rPr>
                <w:rFonts w:ascii="Times New Roman" w:hAnsi="Times New Roman"/>
                <w:sz w:val="22"/>
                <w:szCs w:val="22"/>
              </w:rPr>
              <w:t>Numero de predios</w:t>
            </w:r>
          </w:p>
        </w:tc>
        <w:tc>
          <w:tcPr>
            <w:tcW w:w="334" w:type="pct"/>
            <w:tcBorders>
              <w:top w:val="single" w:sz="6" w:space="0" w:color="auto"/>
              <w:left w:val="single" w:sz="4" w:space="0" w:color="auto"/>
              <w:bottom w:val="single" w:sz="6" w:space="0" w:color="auto"/>
              <w:right w:val="single" w:sz="4" w:space="0" w:color="auto"/>
            </w:tcBorders>
            <w:vAlign w:val="center"/>
          </w:tcPr>
          <w:p w14:paraId="4FF5E991" w14:textId="125C358A" w:rsidR="00B935D8" w:rsidRPr="002D70D9" w:rsidRDefault="00B935D8" w:rsidP="00B935D8">
            <w:pPr>
              <w:spacing w:line="256" w:lineRule="auto"/>
              <w:jc w:val="center"/>
              <w:rPr>
                <w:rFonts w:ascii="Times New Roman" w:hAnsi="Times New Roman"/>
                <w:sz w:val="22"/>
                <w:szCs w:val="22"/>
              </w:rPr>
            </w:pPr>
            <w:r w:rsidRPr="002D70D9">
              <w:rPr>
                <w:rFonts w:ascii="Times New Roman" w:hAnsi="Times New Roman"/>
                <w:sz w:val="22"/>
                <w:szCs w:val="22"/>
              </w:rPr>
              <w:t>96</w:t>
            </w:r>
          </w:p>
        </w:tc>
        <w:tc>
          <w:tcPr>
            <w:tcW w:w="334" w:type="pct"/>
            <w:tcBorders>
              <w:top w:val="single" w:sz="6" w:space="0" w:color="auto"/>
              <w:left w:val="single" w:sz="4" w:space="0" w:color="auto"/>
              <w:bottom w:val="single" w:sz="6" w:space="0" w:color="auto"/>
              <w:right w:val="single" w:sz="4" w:space="0" w:color="auto"/>
            </w:tcBorders>
            <w:vAlign w:val="center"/>
          </w:tcPr>
          <w:p w14:paraId="280E4954" w14:textId="767EAD05" w:rsidR="00B935D8" w:rsidRPr="002D70D9" w:rsidRDefault="00B935D8" w:rsidP="00B935D8">
            <w:pPr>
              <w:spacing w:line="256" w:lineRule="auto"/>
              <w:jc w:val="center"/>
              <w:rPr>
                <w:rFonts w:ascii="Times New Roman" w:hAnsi="Times New Roman"/>
                <w:sz w:val="22"/>
                <w:szCs w:val="22"/>
              </w:rPr>
            </w:pPr>
            <w:r w:rsidRPr="002D70D9">
              <w:rPr>
                <w:rFonts w:ascii="Times New Roman" w:hAnsi="Times New Roman"/>
                <w:sz w:val="22"/>
                <w:szCs w:val="22"/>
              </w:rPr>
              <w:t>172</w:t>
            </w:r>
          </w:p>
        </w:tc>
        <w:tc>
          <w:tcPr>
            <w:tcW w:w="401" w:type="pct"/>
            <w:tcBorders>
              <w:top w:val="single" w:sz="6" w:space="0" w:color="auto"/>
              <w:left w:val="single" w:sz="4" w:space="0" w:color="auto"/>
              <w:bottom w:val="single" w:sz="18" w:space="0" w:color="auto"/>
              <w:right w:val="single" w:sz="4" w:space="0" w:color="auto"/>
            </w:tcBorders>
            <w:vAlign w:val="center"/>
          </w:tcPr>
          <w:p w14:paraId="471FD356" w14:textId="36B6B4C7" w:rsidR="00B935D8" w:rsidRPr="002D70D9" w:rsidRDefault="00B935D8" w:rsidP="00B935D8">
            <w:pPr>
              <w:spacing w:line="256" w:lineRule="auto"/>
              <w:jc w:val="center"/>
              <w:rPr>
                <w:rFonts w:ascii="Times New Roman" w:hAnsi="Times New Roman"/>
                <w:sz w:val="22"/>
                <w:szCs w:val="22"/>
              </w:rPr>
            </w:pPr>
            <w:r w:rsidRPr="002D70D9">
              <w:rPr>
                <w:rFonts w:ascii="Times New Roman" w:hAnsi="Times New Roman"/>
                <w:sz w:val="22"/>
                <w:szCs w:val="22"/>
              </w:rPr>
              <w:t>249</w:t>
            </w:r>
          </w:p>
        </w:tc>
        <w:tc>
          <w:tcPr>
            <w:tcW w:w="294" w:type="pct"/>
            <w:tcBorders>
              <w:top w:val="single" w:sz="6" w:space="0" w:color="auto"/>
              <w:left w:val="single" w:sz="4" w:space="0" w:color="auto"/>
              <w:bottom w:val="single" w:sz="18" w:space="0" w:color="auto"/>
              <w:right w:val="single" w:sz="4" w:space="0" w:color="auto"/>
            </w:tcBorders>
            <w:vAlign w:val="center"/>
          </w:tcPr>
          <w:p w14:paraId="2AFB7072" w14:textId="4B8D2685" w:rsidR="00B935D8" w:rsidRPr="002D70D9" w:rsidRDefault="00B935D8" w:rsidP="00B935D8">
            <w:pPr>
              <w:spacing w:line="256" w:lineRule="auto"/>
              <w:jc w:val="center"/>
              <w:rPr>
                <w:rFonts w:ascii="Times New Roman" w:hAnsi="Times New Roman"/>
                <w:sz w:val="22"/>
                <w:szCs w:val="22"/>
              </w:rPr>
            </w:pPr>
            <w:r w:rsidRPr="002D70D9">
              <w:rPr>
                <w:rFonts w:ascii="Times New Roman" w:hAnsi="Times New Roman"/>
                <w:sz w:val="22"/>
                <w:szCs w:val="22"/>
              </w:rPr>
              <w:t>380</w:t>
            </w:r>
          </w:p>
        </w:tc>
        <w:tc>
          <w:tcPr>
            <w:tcW w:w="401" w:type="pct"/>
            <w:tcBorders>
              <w:top w:val="single" w:sz="6" w:space="0" w:color="auto"/>
              <w:left w:val="single" w:sz="4" w:space="0" w:color="auto"/>
              <w:bottom w:val="single" w:sz="18" w:space="0" w:color="auto"/>
              <w:right w:val="single" w:sz="4" w:space="0" w:color="auto"/>
            </w:tcBorders>
            <w:vAlign w:val="center"/>
          </w:tcPr>
          <w:p w14:paraId="0B1595F7" w14:textId="033DA1CB" w:rsidR="00B935D8" w:rsidRPr="002D70D9" w:rsidRDefault="00B935D8" w:rsidP="00B935D8">
            <w:pPr>
              <w:spacing w:line="256" w:lineRule="auto"/>
              <w:jc w:val="center"/>
              <w:rPr>
                <w:rFonts w:ascii="Times New Roman" w:hAnsi="Times New Roman"/>
                <w:sz w:val="22"/>
                <w:szCs w:val="22"/>
              </w:rPr>
            </w:pPr>
            <w:r w:rsidRPr="002D70D9">
              <w:rPr>
                <w:rFonts w:ascii="Times New Roman" w:hAnsi="Times New Roman"/>
                <w:sz w:val="22"/>
                <w:szCs w:val="22"/>
              </w:rPr>
              <w:t>103</w:t>
            </w:r>
          </w:p>
        </w:tc>
        <w:tc>
          <w:tcPr>
            <w:tcW w:w="492" w:type="pct"/>
            <w:tcBorders>
              <w:top w:val="single" w:sz="6" w:space="0" w:color="auto"/>
              <w:left w:val="single" w:sz="4" w:space="0" w:color="auto"/>
              <w:bottom w:val="single" w:sz="18" w:space="0" w:color="auto"/>
              <w:right w:val="single" w:sz="4" w:space="0" w:color="auto"/>
            </w:tcBorders>
            <w:vAlign w:val="center"/>
          </w:tcPr>
          <w:p w14:paraId="5626E252" w14:textId="40F69BF1" w:rsidR="00B935D8" w:rsidRPr="002D70D9" w:rsidRDefault="00B935D8" w:rsidP="00B935D8">
            <w:pPr>
              <w:spacing w:line="256" w:lineRule="auto"/>
              <w:jc w:val="center"/>
              <w:rPr>
                <w:rFonts w:ascii="Times New Roman" w:hAnsi="Times New Roman"/>
                <w:sz w:val="22"/>
                <w:szCs w:val="22"/>
              </w:rPr>
            </w:pPr>
            <w:r w:rsidRPr="002D70D9">
              <w:rPr>
                <w:rFonts w:ascii="Times New Roman" w:hAnsi="Times New Roman"/>
                <w:sz w:val="22"/>
                <w:szCs w:val="22"/>
              </w:rPr>
              <w:t>1000</w:t>
            </w:r>
          </w:p>
        </w:tc>
      </w:tr>
    </w:tbl>
    <w:p w14:paraId="1BD0478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785606">
      <w:pPr>
        <w:pStyle w:val="Prrafodelista"/>
        <w:numPr>
          <w:ilvl w:val="2"/>
          <w:numId w:val="5"/>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5AB8C7A5" w14:textId="77777777" w:rsidR="00AC72BB" w:rsidRDefault="00AC72BB" w:rsidP="00AC72BB">
      <w:pPr>
        <w:rPr>
          <w:rFonts w:ascii="Times New Roman" w:hAnsi="Times New Roman"/>
          <w:szCs w:val="24"/>
          <w:lang w:eastAsia="es-CO"/>
        </w:rPr>
      </w:pPr>
      <w:r>
        <w:rPr>
          <w:rFonts w:ascii="Times New Roman" w:hAnsi="Times New Roman"/>
          <w:szCs w:val="24"/>
          <w:lang w:eastAsia="es-CO"/>
        </w:rPr>
        <w:t xml:space="preserve">Se establecieron de acuerdo con las causas del Árbol de problema establecido en la Figura 1, dos objetivos específicos que responden a la atención del problema a través del objetivo central, como se puede observar en la Figura 5. </w:t>
      </w:r>
    </w:p>
    <w:p w14:paraId="7DCFD87C" w14:textId="77777777" w:rsidR="00AC72BB" w:rsidRDefault="00AC72BB" w:rsidP="00AC72BB">
      <w:pPr>
        <w:rPr>
          <w:rFonts w:ascii="Times New Roman" w:hAnsi="Times New Roman"/>
          <w:szCs w:val="24"/>
          <w:lang w:eastAsia="es-CO"/>
        </w:rPr>
      </w:pPr>
    </w:p>
    <w:p w14:paraId="29B0FB31"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Una vez fueron planteados los objetivos específicos, se realizó un ejercicio en el cual se proyectarán los resultados esperados en el desarrollo de los objetivos y de esta manera se definieron como metas del proyecto de inversión</w:t>
      </w:r>
      <w:r>
        <w:rPr>
          <w:rFonts w:ascii="Times New Roman" w:hAnsi="Times New Roman"/>
          <w:i/>
          <w:szCs w:val="24"/>
          <w:lang w:eastAsia="es-CO"/>
        </w:rPr>
        <w:t>.</w:t>
      </w:r>
    </w:p>
    <w:p w14:paraId="05A1613E" w14:textId="77777777" w:rsidR="00AC72BB" w:rsidRDefault="00AC72BB" w:rsidP="00AC72BB">
      <w:pPr>
        <w:jc w:val="left"/>
        <w:rPr>
          <w:rFonts w:ascii="Times New Roman" w:hAnsi="Times New Roman"/>
          <w:i/>
          <w:szCs w:val="24"/>
          <w:lang w:eastAsia="es-CO"/>
        </w:rPr>
      </w:pPr>
    </w:p>
    <w:p w14:paraId="1B1C4438" w14:textId="77777777" w:rsidR="00AC72BB" w:rsidRDefault="00AC72BB" w:rsidP="00AC72BB">
      <w:pPr>
        <w:pStyle w:val="Prrafodelista"/>
        <w:numPr>
          <w:ilvl w:val="0"/>
          <w:numId w:val="35"/>
        </w:numPr>
        <w:rPr>
          <w:rFonts w:ascii="Times New Roman" w:hAnsi="Times New Roman"/>
          <w:i/>
          <w:iCs/>
          <w:sz w:val="22"/>
          <w:szCs w:val="22"/>
          <w:lang w:eastAsia="es-CO"/>
        </w:rPr>
      </w:pPr>
      <w:r>
        <w:rPr>
          <w:rFonts w:ascii="Times New Roman" w:hAnsi="Times New Roman"/>
          <w:i/>
          <w:iCs/>
          <w:sz w:val="22"/>
          <w:szCs w:val="22"/>
          <w:lang w:eastAsia="es-CO"/>
        </w:rPr>
        <w:t>Fortalecer las actividades de evaluación, control y seguimiento ambiental sobre los predios en los cuales se realizan actividades industriales, de servicios y con antecedentes de extracción de minerales en el perímetro urbano del Distrito Capital.</w:t>
      </w:r>
    </w:p>
    <w:p w14:paraId="2671D0C4" w14:textId="77777777" w:rsidR="00AC72BB" w:rsidRDefault="00AC72BB" w:rsidP="00AC72BB">
      <w:pPr>
        <w:pStyle w:val="Prrafodelista"/>
        <w:ind w:left="720"/>
        <w:rPr>
          <w:rFonts w:ascii="Times New Roman" w:hAnsi="Times New Roman"/>
          <w:i/>
          <w:iCs/>
          <w:sz w:val="22"/>
          <w:szCs w:val="22"/>
          <w:lang w:eastAsia="es-CO"/>
        </w:rPr>
      </w:pPr>
    </w:p>
    <w:p w14:paraId="7762C06C" w14:textId="77777777" w:rsidR="00AC72BB" w:rsidRDefault="00AC72BB" w:rsidP="00AC72BB">
      <w:pPr>
        <w:pStyle w:val="Prrafodelista"/>
        <w:numPr>
          <w:ilvl w:val="0"/>
          <w:numId w:val="35"/>
        </w:numPr>
        <w:rPr>
          <w:rFonts w:ascii="Times New Roman" w:hAnsi="Times New Roman"/>
          <w:sz w:val="22"/>
          <w:szCs w:val="22"/>
          <w:lang w:eastAsia="es-CO"/>
        </w:rPr>
      </w:pPr>
      <w:r>
        <w:rPr>
          <w:rFonts w:ascii="Times New Roman" w:hAnsi="Times New Roman"/>
          <w:i/>
          <w:iCs/>
          <w:sz w:val="22"/>
          <w:szCs w:val="22"/>
          <w:lang w:eastAsia="es-CO"/>
        </w:rPr>
        <w:t>Desarrollar una herramienta de captura de información conceptual de las características del suelo y el agua subterráneo del acuífero somero.</w:t>
      </w:r>
    </w:p>
    <w:p w14:paraId="512EBCD2" w14:textId="77777777" w:rsidR="006A02E4"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D53249"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Pr>
          <w:rFonts w:ascii="Times New Roman" w:hAnsi="Times New Roman"/>
          <w:b/>
          <w:color w:val="000000"/>
          <w:sz w:val="28"/>
          <w:szCs w:val="22"/>
        </w:rPr>
        <w:t xml:space="preserve"> </w:t>
      </w:r>
      <w:r w:rsidRPr="00D53249">
        <w:rPr>
          <w:rFonts w:ascii="Times New Roman" w:hAnsi="Times New Roman"/>
          <w:b/>
          <w:color w:val="000000"/>
          <w:sz w:val="28"/>
          <w:szCs w:val="22"/>
        </w:rPr>
        <w:t xml:space="preserve">Listado de productos a generar y cantidades de esos productos. </w:t>
      </w:r>
    </w:p>
    <w:p w14:paraId="2ABB1215" w14:textId="77777777" w:rsidR="00D53249" w:rsidRPr="004A0D95" w:rsidRDefault="00D53249" w:rsidP="00D53249">
      <w:pPr>
        <w:pStyle w:val="Prrafodelista"/>
        <w:pBdr>
          <w:top w:val="nil"/>
          <w:left w:val="nil"/>
          <w:bottom w:val="nil"/>
          <w:right w:val="nil"/>
          <w:between w:val="nil"/>
        </w:pBdr>
        <w:ind w:left="851"/>
        <w:jc w:val="left"/>
        <w:rPr>
          <w:rFonts w:ascii="Times New Roman" w:hAnsi="Times New Roman"/>
          <w:bCs/>
          <w:i/>
          <w:iCs/>
          <w:sz w:val="22"/>
          <w:szCs w:val="22"/>
        </w:rPr>
      </w:pPr>
      <w:r>
        <w:rPr>
          <w:rFonts w:ascii="Times New Roman" w:hAnsi="Times New Roman"/>
          <w:b/>
          <w:color w:val="000000"/>
          <w:sz w:val="22"/>
          <w:szCs w:val="22"/>
        </w:rPr>
        <w:t>(</w:t>
      </w:r>
      <w:r w:rsidRPr="004A0D95">
        <w:rPr>
          <w:rFonts w:ascii="Times New Roman" w:hAnsi="Times New Roman"/>
          <w:bCs/>
          <w:i/>
          <w:iCs/>
          <w:color w:val="000000"/>
          <w:sz w:val="22"/>
          <w:szCs w:val="22"/>
        </w:rPr>
        <w:t xml:space="preserve">principales y secundarios)                </w:t>
      </w:r>
    </w:p>
    <w:p w14:paraId="65B17AEE" w14:textId="77777777" w:rsidR="00D53249" w:rsidRPr="0018003D" w:rsidRDefault="00D53249" w:rsidP="00D53249">
      <w:pPr>
        <w:ind w:hanging="708"/>
        <w:jc w:val="left"/>
        <w:rPr>
          <w:rFonts w:ascii="Times New Roman" w:hAnsi="Times New Roman"/>
          <w:b/>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269"/>
        <w:gridCol w:w="4158"/>
        <w:gridCol w:w="2802"/>
      </w:tblGrid>
      <w:tr w:rsidR="00D53249" w:rsidRPr="0018003D" w14:paraId="39B19C15" w14:textId="77777777" w:rsidTr="00AC72BB">
        <w:trPr>
          <w:trHeight w:val="296"/>
        </w:trPr>
        <w:tc>
          <w:tcPr>
            <w:tcW w:w="2269"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1C3F" w:rsidRDefault="00D53249" w:rsidP="00D5763D">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415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w:t>
            </w:r>
            <w:r>
              <w:rPr>
                <w:rFonts w:ascii="Times New Roman" w:hAnsi="Times New Roman"/>
                <w:b/>
                <w:color w:val="FFFFFF" w:themeColor="background1"/>
                <w:sz w:val="22"/>
                <w:szCs w:val="22"/>
              </w:rPr>
              <w:t>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D53249" w:rsidRPr="00AC72BB" w14:paraId="0E4DA452" w14:textId="77777777" w:rsidTr="00AC72BB">
        <w:trPr>
          <w:trHeight w:val="228"/>
        </w:trPr>
        <w:tc>
          <w:tcPr>
            <w:tcW w:w="2269" w:type="dxa"/>
            <w:tcBorders>
              <w:top w:val="nil"/>
              <w:left w:val="single" w:sz="8" w:space="0" w:color="000000"/>
              <w:bottom w:val="single" w:sz="8" w:space="0" w:color="000000"/>
              <w:right w:val="single" w:sz="8" w:space="0" w:color="000000"/>
            </w:tcBorders>
            <w:vAlign w:val="center"/>
          </w:tcPr>
          <w:p w14:paraId="6DBDA552" w14:textId="41711D50"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3201021</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1E50D89"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instrumentos técnicos de evaluación y seguimiento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0E26BD9E" w:rsidR="00D53249" w:rsidRPr="00AC72BB" w:rsidRDefault="005A7F13" w:rsidP="00AC72BB">
            <w:pPr>
              <w:jc w:val="center"/>
              <w:rPr>
                <w:rFonts w:ascii="Times New Roman" w:hAnsi="Times New Roman"/>
                <w:bCs/>
                <w:sz w:val="22"/>
                <w:szCs w:val="22"/>
              </w:rPr>
            </w:pPr>
            <w:r>
              <w:rPr>
                <w:rFonts w:ascii="Times New Roman" w:hAnsi="Times New Roman"/>
                <w:bCs/>
                <w:sz w:val="22"/>
                <w:szCs w:val="22"/>
              </w:rPr>
              <w:t>700</w:t>
            </w:r>
          </w:p>
        </w:tc>
      </w:tr>
      <w:tr w:rsidR="00D53249" w:rsidRPr="00AC72BB" w14:paraId="51FC82F6" w14:textId="77777777" w:rsidTr="00AC72BB">
        <w:trPr>
          <w:trHeight w:val="103"/>
        </w:trPr>
        <w:tc>
          <w:tcPr>
            <w:tcW w:w="2269" w:type="dxa"/>
            <w:tcBorders>
              <w:top w:val="nil"/>
              <w:left w:val="single" w:sz="8" w:space="0" w:color="000000"/>
              <w:bottom w:val="single" w:sz="8" w:space="0" w:color="000000"/>
              <w:right w:val="single" w:sz="8" w:space="0" w:color="000000"/>
            </w:tcBorders>
            <w:vAlign w:val="center"/>
          </w:tcPr>
          <w:p w14:paraId="53A5978F" w14:textId="7CCEB355"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3201015</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38BAAA1"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lineamientos técnicos para promover la gestión sostenible del suelo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1DF38D97"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1</w:t>
            </w:r>
          </w:p>
        </w:tc>
      </w:tr>
    </w:tbl>
    <w:p w14:paraId="5F38EE35" w14:textId="77777777" w:rsidR="00D53249" w:rsidRPr="00482CAB" w:rsidRDefault="00D53249" w:rsidP="00D53249">
      <w:pPr>
        <w:jc w:val="center"/>
        <w:rPr>
          <w:rFonts w:ascii="Times New Roman" w:hAnsi="Times New Roman"/>
          <w:i/>
          <w:iCs/>
          <w:sz w:val="18"/>
          <w:szCs w:val="18"/>
        </w:rPr>
      </w:pPr>
      <w:r w:rsidRPr="00482CAB">
        <w:rPr>
          <w:rFonts w:ascii="Times New Roman" w:hAnsi="Times New Roman"/>
          <w:i/>
          <w:iCs/>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1EC33210" w14:textId="7725816E" w:rsidR="00AC72BB" w:rsidRDefault="00AC72BB" w:rsidP="00AC72BB">
      <w:pPr>
        <w:rPr>
          <w:rFonts w:ascii="Times New Roman" w:hAnsi="Times New Roman"/>
          <w:i/>
          <w:szCs w:val="24"/>
          <w:lang w:eastAsia="es-CO"/>
        </w:rPr>
      </w:pPr>
      <w:r>
        <w:rPr>
          <w:rFonts w:ascii="Times New Roman" w:hAnsi="Times New Roman"/>
          <w:iCs/>
          <w:szCs w:val="24"/>
          <w:lang w:eastAsia="es-CO"/>
        </w:rPr>
        <w:t xml:space="preserve">Una vez fueron planteados los objetivos específicos, se realizó un ejercicio en el cual se proyectaron los resultados esperados en el desarrollo de los objetivos y de esta manera se definieron las siguientes </w:t>
      </w:r>
      <w:r w:rsidR="00B935D8">
        <w:rPr>
          <w:rFonts w:ascii="Times New Roman" w:hAnsi="Times New Roman"/>
          <w:iCs/>
          <w:szCs w:val="24"/>
          <w:lang w:eastAsia="es-CO"/>
        </w:rPr>
        <w:t>metas proyecto</w:t>
      </w:r>
      <w:r>
        <w:rPr>
          <w:rFonts w:ascii="Times New Roman" w:hAnsi="Times New Roman"/>
          <w:iCs/>
          <w:szCs w:val="24"/>
          <w:lang w:eastAsia="es-CO"/>
        </w:rPr>
        <w:t xml:space="preserve"> de inversión:</w:t>
      </w:r>
    </w:p>
    <w:p w14:paraId="41645C77" w14:textId="77777777" w:rsidR="00AC72BB" w:rsidRDefault="00AC72BB" w:rsidP="00AC72BB">
      <w:pPr>
        <w:jc w:val="left"/>
        <w:rPr>
          <w:rFonts w:ascii="Times New Roman" w:hAnsi="Times New Roman"/>
          <w:i/>
          <w:szCs w:val="24"/>
          <w:lang w:eastAsia="es-CO"/>
        </w:rPr>
      </w:pPr>
    </w:p>
    <w:p w14:paraId="423C141A" w14:textId="47B798BF" w:rsidR="00AC72BB" w:rsidRDefault="0079323C" w:rsidP="00AC72BB">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AC72BB">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15DBFF3E" w14:textId="77777777" w:rsidR="00AC72BB" w:rsidRDefault="00AC72BB" w:rsidP="00AC72BB">
      <w:pPr>
        <w:pStyle w:val="Prrafodelista"/>
        <w:ind w:left="851"/>
        <w:contextualSpacing/>
        <w:rPr>
          <w:rFonts w:ascii="Times New Roman" w:hAnsi="Times New Roman"/>
          <w:iCs/>
          <w:szCs w:val="24"/>
          <w:lang w:eastAsia="es-CO"/>
        </w:rPr>
      </w:pPr>
    </w:p>
    <w:p w14:paraId="33DBA02D"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0B9CB019" w14:textId="77777777" w:rsidR="00AC72BB" w:rsidRDefault="00AC72BB" w:rsidP="00AC72BB">
      <w:pPr>
        <w:pStyle w:val="Prrafodelista"/>
        <w:rPr>
          <w:rFonts w:ascii="Times New Roman" w:hAnsi="Times New Roman"/>
          <w:iCs/>
          <w:szCs w:val="24"/>
          <w:lang w:eastAsia="es-CO"/>
        </w:rPr>
      </w:pPr>
    </w:p>
    <w:p w14:paraId="151C691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7DF7EE5E" w14:textId="77777777" w:rsidR="00AC72BB" w:rsidRDefault="00AC72BB" w:rsidP="00AC72BB">
      <w:pPr>
        <w:pStyle w:val="Prrafodelista"/>
        <w:rPr>
          <w:rFonts w:ascii="Times New Roman" w:hAnsi="Times New Roman"/>
          <w:iCs/>
          <w:szCs w:val="24"/>
          <w:lang w:eastAsia="es-CO"/>
        </w:rPr>
      </w:pPr>
    </w:p>
    <w:p w14:paraId="2B807EA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7B872208" w14:textId="77777777" w:rsidR="00AC72BB" w:rsidRDefault="00AC72BB" w:rsidP="00AC72BB">
      <w:pPr>
        <w:pStyle w:val="Prrafodelista"/>
        <w:rPr>
          <w:rFonts w:ascii="Times New Roman" w:hAnsi="Times New Roman"/>
          <w:iCs/>
          <w:szCs w:val="24"/>
          <w:lang w:eastAsia="es-CO"/>
        </w:rPr>
      </w:pPr>
    </w:p>
    <w:p w14:paraId="0A317F8D" w14:textId="77777777" w:rsidR="00AC72BB" w:rsidRDefault="00AC72BB" w:rsidP="00AC72BB">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lastRenderedPageBreak/>
        <w:t>Desarrollar e implementar el 100% de un modelo conceptual de captura de información sobre características del suelo en sitios con afectación (potencial y configurada) al suelo y/o agua subterránea del acuífero somero.</w:t>
      </w:r>
    </w:p>
    <w:p w14:paraId="27F6F467" w14:textId="77777777" w:rsidR="00AC72BB" w:rsidRDefault="00AC72BB" w:rsidP="00AC72BB">
      <w:pPr>
        <w:jc w:val="left"/>
        <w:rPr>
          <w:rFonts w:ascii="Times New Roman" w:hAnsi="Times New Roman"/>
          <w:iCs/>
          <w:szCs w:val="24"/>
          <w:lang w:eastAsia="es-CO"/>
        </w:rPr>
      </w:pPr>
    </w:p>
    <w:p w14:paraId="480AE564" w14:textId="77777777" w:rsidR="00AC72BB" w:rsidRDefault="00AC72BB" w:rsidP="00AC72BB">
      <w:pPr>
        <w:jc w:val="left"/>
        <w:rPr>
          <w:rFonts w:ascii="Times New Roman" w:hAnsi="Times New Roman"/>
          <w:iCs/>
          <w:szCs w:val="24"/>
          <w:lang w:eastAsia="es-CO"/>
        </w:rPr>
      </w:pPr>
      <w:r>
        <w:rPr>
          <w:rFonts w:ascii="Times New Roman" w:hAnsi="Times New Roman"/>
          <w:iCs/>
          <w:szCs w:val="24"/>
          <w:lang w:eastAsia="es-CO"/>
        </w:rPr>
        <w:t>Las actividades de evaluación, seguimiento, control y vigilancia establecidas en las metas proyecto de inversión se describen detalladamente en la Tabla 11.</w:t>
      </w:r>
    </w:p>
    <w:p w14:paraId="158F1C14" w14:textId="77777777" w:rsidR="004E0388" w:rsidRPr="0018003D" w:rsidRDefault="004E0388">
      <w:pPr>
        <w:ind w:left="1776"/>
        <w:jc w:val="left"/>
        <w:rPr>
          <w:rFonts w:ascii="Times New Roman" w:hAnsi="Times New Roman"/>
          <w:sz w:val="22"/>
          <w:szCs w:val="22"/>
          <w:highlight w:val="green"/>
        </w:rPr>
      </w:pP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F83BC18" w14:textId="77777777" w:rsidR="00AC72BB" w:rsidRDefault="00AC72BB" w:rsidP="00AC72BB">
      <w:pPr>
        <w:rPr>
          <w:rFonts w:ascii="Times New Roman" w:hAnsi="Times New Roman"/>
          <w:bCs/>
          <w:szCs w:val="24"/>
          <w:lang w:eastAsia="es-CO"/>
        </w:rPr>
      </w:pPr>
      <w:r>
        <w:rPr>
          <w:rFonts w:ascii="Times New Roman" w:hAnsi="Times New Roman"/>
          <w:bCs/>
          <w:szCs w:val="24"/>
          <w:lang w:eastAsia="es-CO"/>
        </w:rPr>
        <w:t>Acorde con los planteamientos de animalización de la meta plan de desarrollo se establece el cumplimiento de las metas proyecto de inversión con la distribución por factores de análisis, que establece para los años inicial y final un alivio de metas para puesta a punto y organización de información en terminación de periodo, y asimismo una progresión en los años de ejecución completos contemplando tiempos de análisis y llegada de la información solicitada a los usuarios de los predios objeto del proyecto.</w:t>
      </w:r>
    </w:p>
    <w:p w14:paraId="1BD395CD" w14:textId="77777777" w:rsidR="00AC72BB" w:rsidRDefault="00AC72BB" w:rsidP="00AC72BB">
      <w:pPr>
        <w:jc w:val="left"/>
        <w:rPr>
          <w:rFonts w:ascii="Times New Roman" w:hAnsi="Times New Roman"/>
          <w:bCs/>
          <w:szCs w:val="24"/>
          <w:lang w:eastAsia="es-CO"/>
        </w:rPr>
      </w:pPr>
    </w:p>
    <w:p w14:paraId="1F268BFA" w14:textId="77777777" w:rsidR="00AC72BB" w:rsidRDefault="00AC72BB" w:rsidP="00AC72BB">
      <w:pPr>
        <w:jc w:val="left"/>
        <w:rPr>
          <w:rFonts w:ascii="Times New Roman" w:hAnsi="Times New Roman"/>
          <w:bCs/>
          <w:szCs w:val="24"/>
          <w:lang w:eastAsia="es-CO"/>
        </w:rPr>
      </w:pPr>
    </w:p>
    <w:p w14:paraId="24D4B9A2" w14:textId="77777777" w:rsidR="00AC72BB" w:rsidRDefault="00AC72BB" w:rsidP="00AC72BB">
      <w:pPr>
        <w:jc w:val="left"/>
        <w:rPr>
          <w:rFonts w:ascii="Times New Roman" w:hAnsi="Times New Roman"/>
          <w:bCs/>
          <w:szCs w:val="24"/>
          <w:lang w:eastAsia="es-CO"/>
        </w:rPr>
      </w:pPr>
    </w:p>
    <w:p w14:paraId="0FE23E17" w14:textId="77777777" w:rsidR="00AC72BB" w:rsidRDefault="00AC72BB" w:rsidP="00AC72BB">
      <w:pPr>
        <w:jc w:val="left"/>
        <w:rPr>
          <w:rFonts w:ascii="Times New Roman" w:hAnsi="Times New Roman"/>
          <w:bCs/>
          <w:szCs w:val="24"/>
          <w:lang w:eastAsia="es-CO"/>
        </w:rPr>
      </w:pPr>
    </w:p>
    <w:p w14:paraId="7574C1B5" w14:textId="77777777" w:rsidR="00AC72BB" w:rsidRDefault="00AC72BB" w:rsidP="00AC72BB">
      <w:pPr>
        <w:jc w:val="center"/>
        <w:rPr>
          <w:rFonts w:ascii="Times New Roman" w:hAnsi="Times New Roman"/>
          <w:b/>
          <w:szCs w:val="24"/>
          <w:lang w:eastAsia="es-CO"/>
        </w:rPr>
      </w:pPr>
      <w:r>
        <w:rPr>
          <w:rFonts w:ascii="Times New Roman" w:hAnsi="Times New Roman"/>
          <w:sz w:val="22"/>
          <w:szCs w:val="22"/>
        </w:rPr>
        <w:t xml:space="preserve">Tabla 9. Anualización de las metas proyecto de inversión 2020 – 2024. </w:t>
      </w:r>
    </w:p>
    <w:tbl>
      <w:tblPr>
        <w:tblW w:w="5819"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880"/>
        <w:gridCol w:w="1049"/>
        <w:gridCol w:w="951"/>
        <w:gridCol w:w="1049"/>
        <w:gridCol w:w="907"/>
        <w:gridCol w:w="1779"/>
        <w:gridCol w:w="659"/>
        <w:gridCol w:w="610"/>
        <w:gridCol w:w="709"/>
        <w:gridCol w:w="610"/>
        <w:gridCol w:w="659"/>
        <w:gridCol w:w="907"/>
      </w:tblGrid>
      <w:tr w:rsidR="00AC72BB" w14:paraId="795C4596" w14:textId="77777777" w:rsidTr="00AC72BB">
        <w:trPr>
          <w:cantSplit/>
          <w:trHeight w:val="360"/>
          <w:tblHeader/>
          <w:jc w:val="center"/>
        </w:trPr>
        <w:tc>
          <w:tcPr>
            <w:tcW w:w="409"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1B38364A"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LÍNEA DE ACCIÓN</w:t>
            </w:r>
          </w:p>
        </w:tc>
        <w:tc>
          <w:tcPr>
            <w:tcW w:w="487"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687805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META</w:t>
            </w:r>
          </w:p>
          <w:p w14:paraId="275339B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PROYECTO DE INVERSIÓN</w:t>
            </w:r>
          </w:p>
        </w:tc>
        <w:tc>
          <w:tcPr>
            <w:tcW w:w="442"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3ED9C61F"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PROCESO</w:t>
            </w:r>
          </w:p>
        </w:tc>
        <w:tc>
          <w:tcPr>
            <w:tcW w:w="487"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4392664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MAGNITUD</w:t>
            </w:r>
          </w:p>
        </w:tc>
        <w:tc>
          <w:tcPr>
            <w:tcW w:w="421"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626ABBE2"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UNIDAD DE MEDIDA</w:t>
            </w:r>
          </w:p>
        </w:tc>
        <w:tc>
          <w:tcPr>
            <w:tcW w:w="826" w:type="pct"/>
            <w:vMerge w:val="restart"/>
            <w:tcBorders>
              <w:top w:val="single" w:sz="4" w:space="0" w:color="auto"/>
              <w:left w:val="single" w:sz="6" w:space="0" w:color="auto"/>
              <w:bottom w:val="single" w:sz="6" w:space="0" w:color="auto"/>
              <w:right w:val="single" w:sz="4" w:space="0" w:color="auto"/>
            </w:tcBorders>
            <w:shd w:val="clear" w:color="auto" w:fill="538135" w:themeFill="accent6" w:themeFillShade="BF"/>
            <w:vAlign w:val="center"/>
          </w:tcPr>
          <w:p w14:paraId="33B6C43D"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DESCRIPCIÓN</w:t>
            </w:r>
          </w:p>
          <w:p w14:paraId="05932AA9" w14:textId="77777777" w:rsidR="00AC72BB" w:rsidRDefault="00AC72BB">
            <w:pPr>
              <w:spacing w:line="256" w:lineRule="auto"/>
              <w:jc w:val="center"/>
              <w:rPr>
                <w:rFonts w:ascii="Times New Roman" w:hAnsi="Times New Roman"/>
                <w:b/>
                <w:color w:val="FFFFFF"/>
                <w:sz w:val="16"/>
                <w:szCs w:val="16"/>
              </w:rPr>
            </w:pPr>
          </w:p>
        </w:tc>
        <w:tc>
          <w:tcPr>
            <w:tcW w:w="1929"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9D8485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AÑOS</w:t>
            </w:r>
          </w:p>
        </w:tc>
      </w:tr>
      <w:tr w:rsidR="00AC6C47" w14:paraId="22F85B15" w14:textId="77777777" w:rsidTr="005A7F13">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3E681CD"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1D0E8E7C"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527CEBEF"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1D74153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095E3C8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4" w:space="0" w:color="auto"/>
            </w:tcBorders>
            <w:vAlign w:val="center"/>
            <w:hideMark/>
          </w:tcPr>
          <w:p w14:paraId="7F445882" w14:textId="77777777" w:rsidR="00AC72BB" w:rsidRDefault="00AC72BB">
            <w:pPr>
              <w:spacing w:line="256" w:lineRule="auto"/>
              <w:jc w:val="left"/>
              <w:rPr>
                <w:rFonts w:ascii="Times New Roman" w:hAnsi="Times New Roman"/>
                <w:b/>
                <w:color w:val="FFFFFF"/>
                <w:sz w:val="16"/>
                <w:szCs w:val="16"/>
              </w:rPr>
            </w:pP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C047B25"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2020</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52F5277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2021</w:t>
            </w:r>
          </w:p>
        </w:tc>
        <w:tc>
          <w:tcPr>
            <w:tcW w:w="32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1F7BECC"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2022</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85F6549"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2023</w:t>
            </w: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EBD7ECE"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2024</w:t>
            </w:r>
          </w:p>
        </w:tc>
        <w:tc>
          <w:tcPr>
            <w:tcW w:w="42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6B6842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TOTAL</w:t>
            </w:r>
          </w:p>
        </w:tc>
      </w:tr>
      <w:tr w:rsidR="005A7F13" w14:paraId="1C63404A" w14:textId="77777777" w:rsidTr="005A7F13">
        <w:trPr>
          <w:cantSplit/>
          <w:jc w:val="center"/>
        </w:trPr>
        <w:tc>
          <w:tcPr>
            <w:tcW w:w="409" w:type="pct"/>
            <w:vMerge w:val="restart"/>
            <w:tcBorders>
              <w:top w:val="single" w:sz="6" w:space="0" w:color="auto"/>
              <w:left w:val="single" w:sz="4" w:space="0" w:color="auto"/>
              <w:bottom w:val="single" w:sz="18" w:space="0" w:color="auto"/>
              <w:right w:val="single" w:sz="6" w:space="0" w:color="auto"/>
            </w:tcBorders>
            <w:vAlign w:val="center"/>
            <w:hideMark/>
          </w:tcPr>
          <w:p w14:paraId="2CCAEDBA" w14:textId="77777777" w:rsidR="005A7F13" w:rsidRDefault="005A7F13" w:rsidP="005A7F13">
            <w:pPr>
              <w:spacing w:line="256" w:lineRule="auto"/>
              <w:jc w:val="left"/>
              <w:rPr>
                <w:rFonts w:ascii="Times New Roman" w:hAnsi="Times New Roman"/>
                <w:sz w:val="16"/>
                <w:szCs w:val="16"/>
              </w:rPr>
            </w:pPr>
            <w:r>
              <w:rPr>
                <w:rFonts w:ascii="Times New Roman" w:hAnsi="Times New Roman"/>
                <w:sz w:val="16"/>
                <w:szCs w:val="16"/>
              </w:rPr>
              <w:t xml:space="preserve">RECURSO SUELO </w:t>
            </w:r>
          </w:p>
        </w:tc>
        <w:tc>
          <w:tcPr>
            <w:tcW w:w="487" w:type="pct"/>
            <w:tcBorders>
              <w:top w:val="single" w:sz="6" w:space="0" w:color="auto"/>
              <w:left w:val="single" w:sz="4" w:space="0" w:color="auto"/>
              <w:bottom w:val="single" w:sz="6" w:space="0" w:color="auto"/>
              <w:right w:val="single" w:sz="6" w:space="0" w:color="auto"/>
            </w:tcBorders>
            <w:vAlign w:val="center"/>
            <w:hideMark/>
          </w:tcPr>
          <w:p w14:paraId="000EBBC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1.</w:t>
            </w:r>
          </w:p>
        </w:tc>
        <w:tc>
          <w:tcPr>
            <w:tcW w:w="442" w:type="pct"/>
            <w:tcBorders>
              <w:top w:val="single" w:sz="6" w:space="0" w:color="auto"/>
              <w:left w:val="single" w:sz="6" w:space="0" w:color="auto"/>
              <w:bottom w:val="single" w:sz="6" w:space="0" w:color="auto"/>
              <w:right w:val="single" w:sz="6" w:space="0" w:color="auto"/>
            </w:tcBorders>
            <w:vAlign w:val="center"/>
            <w:hideMark/>
          </w:tcPr>
          <w:p w14:paraId="5046BEDF"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5155B56"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215</w:t>
            </w:r>
          </w:p>
        </w:tc>
        <w:tc>
          <w:tcPr>
            <w:tcW w:w="421" w:type="pct"/>
            <w:tcBorders>
              <w:top w:val="single" w:sz="6" w:space="0" w:color="auto"/>
              <w:left w:val="single" w:sz="6" w:space="0" w:color="auto"/>
              <w:bottom w:val="single" w:sz="6" w:space="0" w:color="auto"/>
              <w:right w:val="single" w:sz="6" w:space="0" w:color="auto"/>
            </w:tcBorders>
            <w:vAlign w:val="center"/>
            <w:hideMark/>
          </w:tcPr>
          <w:p w14:paraId="5F5DD00D"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2D036C73"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identificados como sitios potencialmente contaminados, sitios contaminados o con pasivos ambientales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7643690" w14:textId="0411D480" w:rsidR="005A7F13" w:rsidRPr="00CF1AE2" w:rsidRDefault="00A3210D" w:rsidP="005A7F13">
            <w:pPr>
              <w:spacing w:line="256" w:lineRule="auto"/>
              <w:jc w:val="center"/>
              <w:rPr>
                <w:rFonts w:ascii="Times New Roman" w:hAnsi="Times New Roman"/>
                <w:sz w:val="20"/>
              </w:rPr>
            </w:pPr>
            <w:r w:rsidRPr="00CF1AE2">
              <w:rPr>
                <w:rFonts w:ascii="Times New Roman" w:hAnsi="Times New Roman"/>
                <w:sz w:val="20"/>
              </w:rPr>
              <w:t>20</w:t>
            </w:r>
          </w:p>
        </w:tc>
        <w:tc>
          <w:tcPr>
            <w:tcW w:w="283" w:type="pct"/>
            <w:tcBorders>
              <w:left w:val="single" w:sz="4" w:space="0" w:color="auto"/>
              <w:right w:val="single" w:sz="4" w:space="0" w:color="auto"/>
            </w:tcBorders>
            <w:shd w:val="clear" w:color="auto" w:fill="auto"/>
            <w:vAlign w:val="center"/>
            <w:hideMark/>
          </w:tcPr>
          <w:p w14:paraId="5A8E3AC1" w14:textId="35F3190C" w:rsidR="005A7F13" w:rsidRPr="00CF1AE2" w:rsidRDefault="00A3210D" w:rsidP="005A7F13">
            <w:pPr>
              <w:spacing w:line="256" w:lineRule="auto"/>
              <w:jc w:val="center"/>
              <w:rPr>
                <w:rFonts w:ascii="Times New Roman" w:hAnsi="Times New Roman"/>
                <w:sz w:val="20"/>
              </w:rPr>
            </w:pPr>
            <w:r w:rsidRPr="00CF1AE2">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1D70F57A" w14:textId="423F81CC" w:rsidR="005A7F13" w:rsidRPr="00CF1AE2" w:rsidRDefault="00111A49" w:rsidP="005A7F13">
            <w:pPr>
              <w:spacing w:line="256" w:lineRule="auto"/>
              <w:jc w:val="center"/>
              <w:rPr>
                <w:rFonts w:ascii="Times New Roman" w:hAnsi="Times New Roman"/>
                <w:sz w:val="20"/>
              </w:rPr>
            </w:pPr>
            <w:r w:rsidRPr="00CF1AE2">
              <w:rPr>
                <w:rFonts w:ascii="Times New Roman" w:hAnsi="Times New Roman"/>
                <w:sz w:val="20"/>
              </w:rPr>
              <w:t>60</w:t>
            </w:r>
          </w:p>
        </w:tc>
        <w:tc>
          <w:tcPr>
            <w:tcW w:w="283" w:type="pct"/>
            <w:tcBorders>
              <w:left w:val="single" w:sz="4" w:space="0" w:color="auto"/>
              <w:right w:val="single" w:sz="4" w:space="0" w:color="auto"/>
            </w:tcBorders>
            <w:shd w:val="clear" w:color="auto" w:fill="auto"/>
            <w:vAlign w:val="center"/>
            <w:hideMark/>
          </w:tcPr>
          <w:p w14:paraId="11860A5C" w14:textId="1EE8B5F3" w:rsidR="005A7F13" w:rsidRPr="00CF1AE2" w:rsidRDefault="00DF5A93" w:rsidP="005A7F13">
            <w:pPr>
              <w:spacing w:line="256" w:lineRule="auto"/>
              <w:jc w:val="center"/>
              <w:rPr>
                <w:rFonts w:ascii="Times New Roman" w:hAnsi="Times New Roman"/>
                <w:sz w:val="20"/>
              </w:rPr>
            </w:pPr>
            <w:r w:rsidRPr="00CF1AE2">
              <w:rPr>
                <w:rFonts w:ascii="Times New Roman" w:hAnsi="Times New Roman"/>
                <w:sz w:val="20"/>
              </w:rPr>
              <w:t>77</w:t>
            </w:r>
          </w:p>
        </w:tc>
        <w:tc>
          <w:tcPr>
            <w:tcW w:w="306" w:type="pct"/>
            <w:tcBorders>
              <w:top w:val="single" w:sz="6" w:space="0" w:color="auto"/>
              <w:left w:val="single" w:sz="4" w:space="0" w:color="auto"/>
              <w:bottom w:val="single" w:sz="6" w:space="0" w:color="auto"/>
              <w:right w:val="single" w:sz="4" w:space="0" w:color="auto"/>
            </w:tcBorders>
            <w:vAlign w:val="center"/>
            <w:hideMark/>
          </w:tcPr>
          <w:p w14:paraId="5E48385F" w14:textId="4FF67759" w:rsidR="005A7F13" w:rsidRPr="00CF1AE2" w:rsidRDefault="00111A49" w:rsidP="005A7F13">
            <w:pPr>
              <w:spacing w:line="256" w:lineRule="auto"/>
              <w:jc w:val="center"/>
              <w:rPr>
                <w:rFonts w:ascii="Times New Roman" w:hAnsi="Times New Roman"/>
                <w:sz w:val="20"/>
              </w:rPr>
            </w:pPr>
            <w:r w:rsidRPr="00CF1AE2">
              <w:rPr>
                <w:rFonts w:ascii="Times New Roman" w:hAnsi="Times New Roman"/>
                <w:sz w:val="20"/>
              </w:rPr>
              <w:t>2</w:t>
            </w:r>
            <w:r w:rsidR="00DF5A93" w:rsidRPr="00CF1AE2">
              <w:rPr>
                <w:rFonts w:ascii="Times New Roman" w:hAnsi="Times New Roman"/>
                <w:sz w:val="20"/>
              </w:rPr>
              <w:t>1</w:t>
            </w:r>
          </w:p>
        </w:tc>
        <w:tc>
          <w:tcPr>
            <w:tcW w:w="421" w:type="pct"/>
            <w:tcBorders>
              <w:top w:val="single" w:sz="6" w:space="0" w:color="auto"/>
              <w:left w:val="single" w:sz="4" w:space="0" w:color="auto"/>
              <w:bottom w:val="single" w:sz="6" w:space="0" w:color="auto"/>
              <w:right w:val="single" w:sz="4" w:space="0" w:color="auto"/>
            </w:tcBorders>
            <w:vAlign w:val="center"/>
            <w:hideMark/>
          </w:tcPr>
          <w:p w14:paraId="13A78342"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215</w:t>
            </w:r>
          </w:p>
        </w:tc>
      </w:tr>
      <w:tr w:rsidR="005A7F13" w14:paraId="6AF0C960"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26A60B09"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B021BEE"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w:t>
            </w:r>
          </w:p>
        </w:tc>
        <w:tc>
          <w:tcPr>
            <w:tcW w:w="442" w:type="pct"/>
            <w:tcBorders>
              <w:top w:val="single" w:sz="6" w:space="0" w:color="auto"/>
              <w:left w:val="single" w:sz="6" w:space="0" w:color="auto"/>
              <w:bottom w:val="single" w:sz="6" w:space="0" w:color="auto"/>
              <w:right w:val="single" w:sz="6" w:space="0" w:color="auto"/>
            </w:tcBorders>
            <w:vAlign w:val="center"/>
            <w:hideMark/>
          </w:tcPr>
          <w:p w14:paraId="2AF65420"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Ejecutar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706213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567</w:t>
            </w:r>
          </w:p>
        </w:tc>
        <w:tc>
          <w:tcPr>
            <w:tcW w:w="421" w:type="pct"/>
            <w:tcBorders>
              <w:top w:val="single" w:sz="6" w:space="0" w:color="auto"/>
              <w:left w:val="single" w:sz="6" w:space="0" w:color="auto"/>
              <w:bottom w:val="single" w:sz="6" w:space="0" w:color="auto"/>
              <w:right w:val="single" w:sz="6" w:space="0" w:color="auto"/>
            </w:tcBorders>
            <w:vAlign w:val="center"/>
            <w:hideMark/>
          </w:tcPr>
          <w:p w14:paraId="51355A21"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06CF7657"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que realizan o realizaron almacenamiento y distribución de hidrocarburos líquidos derivados del petróleo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5FFB8C9E" w14:textId="19839803" w:rsidR="005A7F13" w:rsidRPr="00CF1AE2" w:rsidRDefault="00A3210D" w:rsidP="005A7F13">
            <w:pPr>
              <w:spacing w:line="256" w:lineRule="auto"/>
              <w:jc w:val="center"/>
              <w:rPr>
                <w:rFonts w:ascii="Times New Roman" w:hAnsi="Times New Roman"/>
                <w:sz w:val="20"/>
              </w:rPr>
            </w:pPr>
            <w:r w:rsidRPr="00CF1AE2">
              <w:rPr>
                <w:rFonts w:ascii="Times New Roman" w:hAnsi="Times New Roman"/>
                <w:sz w:val="20"/>
              </w:rPr>
              <w:t>55</w:t>
            </w:r>
          </w:p>
        </w:tc>
        <w:tc>
          <w:tcPr>
            <w:tcW w:w="283" w:type="pct"/>
            <w:tcBorders>
              <w:left w:val="single" w:sz="4" w:space="0" w:color="auto"/>
              <w:right w:val="single" w:sz="4" w:space="0" w:color="auto"/>
            </w:tcBorders>
            <w:shd w:val="clear" w:color="auto" w:fill="auto"/>
            <w:vAlign w:val="center"/>
            <w:hideMark/>
          </w:tcPr>
          <w:p w14:paraId="504E7F43" w14:textId="7A45B046" w:rsidR="005A7F13" w:rsidRPr="00CF1AE2" w:rsidRDefault="00A3210D" w:rsidP="005A7F13">
            <w:pPr>
              <w:spacing w:line="256" w:lineRule="auto"/>
              <w:jc w:val="center"/>
              <w:rPr>
                <w:rFonts w:ascii="Times New Roman" w:hAnsi="Times New Roman"/>
                <w:sz w:val="20"/>
              </w:rPr>
            </w:pPr>
            <w:r w:rsidRPr="00CF1AE2">
              <w:rPr>
                <w:rFonts w:ascii="Times New Roman" w:hAnsi="Times New Roman"/>
                <w:sz w:val="20"/>
              </w:rPr>
              <w:t>98</w:t>
            </w:r>
          </w:p>
        </w:tc>
        <w:tc>
          <w:tcPr>
            <w:tcW w:w="329" w:type="pct"/>
            <w:tcBorders>
              <w:left w:val="single" w:sz="4" w:space="0" w:color="auto"/>
              <w:right w:val="single" w:sz="4" w:space="0" w:color="auto"/>
            </w:tcBorders>
            <w:shd w:val="clear" w:color="auto" w:fill="auto"/>
            <w:vAlign w:val="center"/>
            <w:hideMark/>
          </w:tcPr>
          <w:p w14:paraId="6E74FC76" w14:textId="259F7618" w:rsidR="005A7F13" w:rsidRPr="00CF1AE2" w:rsidRDefault="00F500BC" w:rsidP="005A7F13">
            <w:pPr>
              <w:spacing w:line="256" w:lineRule="auto"/>
              <w:jc w:val="center"/>
              <w:rPr>
                <w:rFonts w:ascii="Times New Roman" w:hAnsi="Times New Roman"/>
                <w:sz w:val="20"/>
              </w:rPr>
            </w:pPr>
            <w:r w:rsidRPr="00CF1AE2">
              <w:rPr>
                <w:rFonts w:ascii="Times New Roman" w:hAnsi="Times New Roman"/>
                <w:sz w:val="20"/>
              </w:rPr>
              <w:t>1</w:t>
            </w:r>
            <w:r w:rsidR="00111A49" w:rsidRPr="00CF1AE2">
              <w:rPr>
                <w:rFonts w:ascii="Times New Roman" w:hAnsi="Times New Roman"/>
                <w:sz w:val="20"/>
              </w:rPr>
              <w:t>3</w:t>
            </w:r>
            <w:r w:rsidRPr="00CF1AE2">
              <w:rPr>
                <w:rFonts w:ascii="Times New Roman" w:hAnsi="Times New Roman"/>
                <w:sz w:val="20"/>
              </w:rPr>
              <w:t>7</w:t>
            </w:r>
          </w:p>
        </w:tc>
        <w:tc>
          <w:tcPr>
            <w:tcW w:w="283" w:type="pct"/>
            <w:tcBorders>
              <w:left w:val="single" w:sz="4" w:space="0" w:color="auto"/>
              <w:right w:val="single" w:sz="4" w:space="0" w:color="auto"/>
            </w:tcBorders>
            <w:shd w:val="clear" w:color="auto" w:fill="auto"/>
            <w:vAlign w:val="center"/>
            <w:hideMark/>
          </w:tcPr>
          <w:p w14:paraId="190633E1" w14:textId="4A87AC6F" w:rsidR="005A7F13" w:rsidRPr="00CF1AE2" w:rsidRDefault="005A7F13" w:rsidP="005A7F13">
            <w:pPr>
              <w:spacing w:line="256" w:lineRule="auto"/>
              <w:jc w:val="center"/>
              <w:rPr>
                <w:rFonts w:ascii="Times New Roman" w:hAnsi="Times New Roman"/>
                <w:sz w:val="20"/>
              </w:rPr>
            </w:pPr>
            <w:r w:rsidRPr="00CF1AE2">
              <w:rPr>
                <w:rFonts w:ascii="Times New Roman" w:hAnsi="Times New Roman"/>
                <w:sz w:val="20"/>
              </w:rPr>
              <w:t>2</w:t>
            </w:r>
            <w:r w:rsidR="00F500BC" w:rsidRPr="00CF1AE2">
              <w:rPr>
                <w:rFonts w:ascii="Times New Roman" w:hAnsi="Times New Roman"/>
                <w:sz w:val="20"/>
              </w:rPr>
              <w:t>20</w:t>
            </w:r>
          </w:p>
        </w:tc>
        <w:tc>
          <w:tcPr>
            <w:tcW w:w="306" w:type="pct"/>
            <w:tcBorders>
              <w:top w:val="single" w:sz="6" w:space="0" w:color="auto"/>
              <w:left w:val="single" w:sz="4" w:space="0" w:color="auto"/>
              <w:bottom w:val="single" w:sz="6" w:space="0" w:color="auto"/>
              <w:right w:val="single" w:sz="4" w:space="0" w:color="auto"/>
            </w:tcBorders>
            <w:vAlign w:val="center"/>
            <w:hideMark/>
          </w:tcPr>
          <w:p w14:paraId="1E00FFB4" w14:textId="2C56F248" w:rsidR="005A7F13" w:rsidRPr="00CF1AE2" w:rsidRDefault="00111A49" w:rsidP="005A7F13">
            <w:pPr>
              <w:spacing w:line="256" w:lineRule="auto"/>
              <w:jc w:val="center"/>
              <w:rPr>
                <w:rFonts w:ascii="Times New Roman" w:hAnsi="Times New Roman"/>
                <w:sz w:val="20"/>
              </w:rPr>
            </w:pPr>
            <w:r w:rsidRPr="00CF1AE2">
              <w:rPr>
                <w:rFonts w:ascii="Times New Roman" w:hAnsi="Times New Roman"/>
                <w:sz w:val="20"/>
              </w:rPr>
              <w:t>5</w:t>
            </w:r>
            <w:r w:rsidR="00F500BC" w:rsidRPr="00CF1AE2">
              <w:rPr>
                <w:rFonts w:ascii="Times New Roman" w:hAnsi="Times New Roman"/>
                <w:sz w:val="20"/>
              </w:rPr>
              <w:t>7</w:t>
            </w:r>
          </w:p>
        </w:tc>
        <w:tc>
          <w:tcPr>
            <w:tcW w:w="421" w:type="pct"/>
            <w:tcBorders>
              <w:top w:val="single" w:sz="6" w:space="0" w:color="auto"/>
              <w:left w:val="single" w:sz="4" w:space="0" w:color="auto"/>
              <w:bottom w:val="single" w:sz="6" w:space="0" w:color="auto"/>
              <w:right w:val="single" w:sz="4" w:space="0" w:color="auto"/>
            </w:tcBorders>
            <w:vAlign w:val="center"/>
            <w:hideMark/>
          </w:tcPr>
          <w:p w14:paraId="275E6260"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567</w:t>
            </w:r>
          </w:p>
        </w:tc>
      </w:tr>
      <w:tr w:rsidR="005A7F13" w14:paraId="40E303F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326A532C"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34059D0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5665A11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13E17B6C"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218</w:t>
            </w:r>
          </w:p>
        </w:tc>
        <w:tc>
          <w:tcPr>
            <w:tcW w:w="421" w:type="pct"/>
            <w:tcBorders>
              <w:top w:val="single" w:sz="6" w:space="0" w:color="auto"/>
              <w:left w:val="single" w:sz="6" w:space="0" w:color="auto"/>
              <w:bottom w:val="single" w:sz="6" w:space="0" w:color="auto"/>
              <w:right w:val="single" w:sz="6" w:space="0" w:color="auto"/>
            </w:tcBorders>
            <w:vAlign w:val="center"/>
            <w:hideMark/>
          </w:tcPr>
          <w:p w14:paraId="4C489B13"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187214A0"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afectados por la actividad extractiva de minerales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6B8E071A" w14:textId="346F5FC1" w:rsidR="005A7F13" w:rsidRPr="00CF1AE2" w:rsidRDefault="00A3210D" w:rsidP="005A7F13">
            <w:pPr>
              <w:spacing w:line="256" w:lineRule="auto"/>
              <w:jc w:val="center"/>
              <w:rPr>
                <w:rFonts w:ascii="Times New Roman" w:hAnsi="Times New Roman"/>
                <w:sz w:val="20"/>
              </w:rPr>
            </w:pPr>
            <w:r w:rsidRPr="00CF1AE2">
              <w:rPr>
                <w:rFonts w:ascii="Times New Roman" w:hAnsi="Times New Roman"/>
                <w:sz w:val="20"/>
              </w:rPr>
              <w:t>21</w:t>
            </w:r>
          </w:p>
        </w:tc>
        <w:tc>
          <w:tcPr>
            <w:tcW w:w="283" w:type="pct"/>
            <w:tcBorders>
              <w:left w:val="single" w:sz="4" w:space="0" w:color="auto"/>
              <w:right w:val="single" w:sz="4" w:space="0" w:color="auto"/>
            </w:tcBorders>
            <w:shd w:val="clear" w:color="auto" w:fill="auto"/>
            <w:vAlign w:val="center"/>
            <w:hideMark/>
          </w:tcPr>
          <w:p w14:paraId="42B36D80" w14:textId="6E6D95A2" w:rsidR="005A7F13" w:rsidRPr="00CF1AE2" w:rsidRDefault="00A3210D" w:rsidP="005A7F13">
            <w:pPr>
              <w:spacing w:line="256" w:lineRule="auto"/>
              <w:jc w:val="center"/>
              <w:rPr>
                <w:rFonts w:ascii="Times New Roman" w:hAnsi="Times New Roman"/>
                <w:sz w:val="20"/>
              </w:rPr>
            </w:pPr>
            <w:r w:rsidRPr="00CF1AE2">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787CA77B" w14:textId="0ADB4E3C" w:rsidR="005A7F13" w:rsidRPr="00CF1AE2" w:rsidRDefault="00F500BC" w:rsidP="005A7F13">
            <w:pPr>
              <w:spacing w:line="256" w:lineRule="auto"/>
              <w:jc w:val="center"/>
              <w:rPr>
                <w:rFonts w:ascii="Times New Roman" w:hAnsi="Times New Roman"/>
                <w:sz w:val="20"/>
              </w:rPr>
            </w:pPr>
            <w:r w:rsidRPr="00CF1AE2">
              <w:rPr>
                <w:rFonts w:ascii="Times New Roman" w:hAnsi="Times New Roman"/>
                <w:sz w:val="20"/>
              </w:rPr>
              <w:t>52</w:t>
            </w:r>
          </w:p>
        </w:tc>
        <w:tc>
          <w:tcPr>
            <w:tcW w:w="283" w:type="pct"/>
            <w:tcBorders>
              <w:left w:val="single" w:sz="4" w:space="0" w:color="auto"/>
              <w:right w:val="single" w:sz="4" w:space="0" w:color="auto"/>
            </w:tcBorders>
            <w:shd w:val="clear" w:color="auto" w:fill="auto"/>
            <w:vAlign w:val="center"/>
            <w:hideMark/>
          </w:tcPr>
          <w:p w14:paraId="61320DAC" w14:textId="4D8B9D01" w:rsidR="005A7F13" w:rsidRPr="00CF1AE2" w:rsidRDefault="00F500BC" w:rsidP="005A7F13">
            <w:pPr>
              <w:spacing w:line="256" w:lineRule="auto"/>
              <w:jc w:val="center"/>
              <w:rPr>
                <w:rFonts w:ascii="Times New Roman" w:hAnsi="Times New Roman"/>
                <w:sz w:val="20"/>
              </w:rPr>
            </w:pPr>
            <w:r w:rsidRPr="00CF1AE2">
              <w:rPr>
                <w:rFonts w:ascii="Times New Roman" w:hAnsi="Times New Roman"/>
                <w:color w:val="000000" w:themeColor="text1"/>
                <w:sz w:val="20"/>
              </w:rPr>
              <w:t>8</w:t>
            </w:r>
            <w:r w:rsidR="005A7F13" w:rsidRPr="00CF1AE2">
              <w:rPr>
                <w:rFonts w:ascii="Times New Roman" w:hAnsi="Times New Roman"/>
                <w:color w:val="000000" w:themeColor="text1"/>
                <w:sz w:val="20"/>
              </w:rPr>
              <w:t>3</w:t>
            </w:r>
          </w:p>
        </w:tc>
        <w:tc>
          <w:tcPr>
            <w:tcW w:w="306" w:type="pct"/>
            <w:tcBorders>
              <w:top w:val="single" w:sz="6" w:space="0" w:color="auto"/>
              <w:left w:val="single" w:sz="4" w:space="0" w:color="auto"/>
              <w:bottom w:val="single" w:sz="6" w:space="0" w:color="auto"/>
              <w:right w:val="single" w:sz="4" w:space="0" w:color="auto"/>
            </w:tcBorders>
            <w:vAlign w:val="center"/>
            <w:hideMark/>
          </w:tcPr>
          <w:p w14:paraId="58436037" w14:textId="74498D96" w:rsidR="005A7F13" w:rsidRPr="00CF1AE2" w:rsidRDefault="005A7F13" w:rsidP="005A7F13">
            <w:pPr>
              <w:spacing w:line="256" w:lineRule="auto"/>
              <w:jc w:val="center"/>
              <w:rPr>
                <w:rFonts w:ascii="Times New Roman" w:hAnsi="Times New Roman"/>
                <w:sz w:val="20"/>
              </w:rPr>
            </w:pPr>
            <w:r w:rsidRPr="00CF1AE2">
              <w:rPr>
                <w:rFonts w:ascii="Times New Roman" w:hAnsi="Times New Roman"/>
                <w:sz w:val="20"/>
              </w:rPr>
              <w:t>2</w:t>
            </w:r>
            <w:r w:rsidR="00F500BC" w:rsidRPr="00CF1AE2">
              <w:rPr>
                <w:rFonts w:ascii="Times New Roman" w:hAnsi="Times New Roman"/>
                <w:sz w:val="20"/>
              </w:rPr>
              <w:t>5</w:t>
            </w:r>
          </w:p>
        </w:tc>
        <w:tc>
          <w:tcPr>
            <w:tcW w:w="421" w:type="pct"/>
            <w:tcBorders>
              <w:top w:val="single" w:sz="6" w:space="0" w:color="auto"/>
              <w:left w:val="single" w:sz="4" w:space="0" w:color="auto"/>
              <w:bottom w:val="single" w:sz="6" w:space="0" w:color="auto"/>
              <w:right w:val="single" w:sz="4" w:space="0" w:color="auto"/>
            </w:tcBorders>
            <w:vAlign w:val="center"/>
            <w:hideMark/>
          </w:tcPr>
          <w:p w14:paraId="2BCF0AEE"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218</w:t>
            </w:r>
          </w:p>
        </w:tc>
      </w:tr>
      <w:tr w:rsidR="00AC72BB" w14:paraId="20200155"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601CA4E0"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5EE0668"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4.</w:t>
            </w:r>
          </w:p>
        </w:tc>
        <w:tc>
          <w:tcPr>
            <w:tcW w:w="442" w:type="pct"/>
            <w:tcBorders>
              <w:top w:val="single" w:sz="6" w:space="0" w:color="auto"/>
              <w:left w:val="single" w:sz="6" w:space="0" w:color="auto"/>
              <w:bottom w:val="single" w:sz="6" w:space="0" w:color="auto"/>
              <w:right w:val="single" w:sz="6" w:space="0" w:color="auto"/>
            </w:tcBorders>
            <w:vAlign w:val="center"/>
            <w:hideMark/>
          </w:tcPr>
          <w:p w14:paraId="5778A63C"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Atender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A8E3F90"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100%</w:t>
            </w:r>
          </w:p>
        </w:tc>
        <w:tc>
          <w:tcPr>
            <w:tcW w:w="421" w:type="pct"/>
            <w:tcBorders>
              <w:top w:val="single" w:sz="6" w:space="0" w:color="auto"/>
              <w:left w:val="single" w:sz="6" w:space="0" w:color="auto"/>
              <w:bottom w:val="single" w:sz="6" w:space="0" w:color="auto"/>
              <w:right w:val="single" w:sz="6" w:space="0" w:color="auto"/>
            </w:tcBorders>
            <w:vAlign w:val="center"/>
            <w:hideMark/>
          </w:tcPr>
          <w:p w14:paraId="4E294324"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Porcentaje</w:t>
            </w:r>
          </w:p>
        </w:tc>
        <w:tc>
          <w:tcPr>
            <w:tcW w:w="826" w:type="pct"/>
            <w:tcBorders>
              <w:top w:val="single" w:sz="6" w:space="0" w:color="auto"/>
              <w:left w:val="single" w:sz="6" w:space="0" w:color="auto"/>
              <w:bottom w:val="single" w:sz="6" w:space="0" w:color="auto"/>
              <w:right w:val="single" w:sz="4" w:space="0" w:color="auto"/>
            </w:tcBorders>
            <w:hideMark/>
          </w:tcPr>
          <w:p w14:paraId="20018F07"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6D8B5F0" w14:textId="77777777" w:rsidR="00AC72BB" w:rsidRPr="00CF1AE2" w:rsidRDefault="00AC72BB">
            <w:pPr>
              <w:spacing w:line="256" w:lineRule="auto"/>
              <w:jc w:val="center"/>
              <w:rPr>
                <w:rFonts w:ascii="Times New Roman" w:hAnsi="Times New Roman"/>
                <w:sz w:val="20"/>
              </w:rPr>
            </w:pPr>
            <w:r w:rsidRPr="00CF1AE2">
              <w:rPr>
                <w:rFonts w:ascii="Times New Roman" w:hAnsi="Times New Roman"/>
                <w:sz w:val="20"/>
              </w:rPr>
              <w:t>12.5%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72C8B371" w14:textId="77777777" w:rsidR="00AC72BB" w:rsidRPr="00CF1AE2" w:rsidRDefault="00AC72BB">
            <w:pPr>
              <w:spacing w:line="256" w:lineRule="auto"/>
              <w:jc w:val="center"/>
              <w:rPr>
                <w:rFonts w:ascii="Times New Roman" w:hAnsi="Times New Roman"/>
                <w:sz w:val="20"/>
              </w:rPr>
            </w:pPr>
            <w:r w:rsidRPr="00CF1AE2">
              <w:rPr>
                <w:rFonts w:ascii="Times New Roman" w:hAnsi="Times New Roman"/>
                <w:sz w:val="20"/>
              </w:rPr>
              <w:t>25%</w:t>
            </w:r>
          </w:p>
        </w:tc>
        <w:tc>
          <w:tcPr>
            <w:tcW w:w="329" w:type="pct"/>
            <w:tcBorders>
              <w:top w:val="single" w:sz="6" w:space="0" w:color="auto"/>
              <w:left w:val="single" w:sz="4" w:space="0" w:color="auto"/>
              <w:bottom w:val="single" w:sz="6" w:space="0" w:color="auto"/>
              <w:right w:val="single" w:sz="4" w:space="0" w:color="auto"/>
            </w:tcBorders>
            <w:vAlign w:val="center"/>
            <w:hideMark/>
          </w:tcPr>
          <w:p w14:paraId="1898EE9D" w14:textId="77777777" w:rsidR="00AC72BB" w:rsidRPr="00CF1AE2" w:rsidRDefault="00AC72BB">
            <w:pPr>
              <w:spacing w:line="256" w:lineRule="auto"/>
              <w:jc w:val="center"/>
              <w:rPr>
                <w:rFonts w:ascii="Times New Roman" w:hAnsi="Times New Roman"/>
                <w:sz w:val="20"/>
              </w:rPr>
            </w:pPr>
            <w:r w:rsidRPr="00CF1AE2">
              <w:rPr>
                <w:rFonts w:ascii="Times New Roman" w:hAnsi="Times New Roman"/>
                <w:sz w:val="20"/>
              </w:rPr>
              <w:t>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3E06BA8D" w14:textId="77777777" w:rsidR="00AC72BB" w:rsidRPr="00CF1AE2" w:rsidRDefault="00AC72BB">
            <w:pPr>
              <w:spacing w:line="256" w:lineRule="auto"/>
              <w:jc w:val="center"/>
              <w:rPr>
                <w:rFonts w:ascii="Times New Roman" w:hAnsi="Times New Roman"/>
                <w:sz w:val="20"/>
              </w:rPr>
            </w:pPr>
            <w:r w:rsidRPr="00CF1AE2">
              <w:rPr>
                <w:rFonts w:ascii="Times New Roman" w:hAnsi="Times New Roman"/>
                <w:sz w:val="20"/>
              </w:rPr>
              <w:t>25%</w:t>
            </w:r>
          </w:p>
        </w:tc>
        <w:tc>
          <w:tcPr>
            <w:tcW w:w="306" w:type="pct"/>
            <w:tcBorders>
              <w:top w:val="single" w:sz="6" w:space="0" w:color="auto"/>
              <w:left w:val="single" w:sz="4" w:space="0" w:color="auto"/>
              <w:bottom w:val="single" w:sz="6" w:space="0" w:color="auto"/>
              <w:right w:val="single" w:sz="4" w:space="0" w:color="auto"/>
            </w:tcBorders>
            <w:vAlign w:val="center"/>
            <w:hideMark/>
          </w:tcPr>
          <w:p w14:paraId="232F91EF" w14:textId="77777777" w:rsidR="00AC72BB" w:rsidRPr="00CF1AE2" w:rsidRDefault="00AC72BB">
            <w:pPr>
              <w:spacing w:line="256" w:lineRule="auto"/>
              <w:jc w:val="center"/>
              <w:rPr>
                <w:rFonts w:ascii="Times New Roman" w:hAnsi="Times New Roman"/>
                <w:sz w:val="20"/>
              </w:rPr>
            </w:pPr>
            <w:r w:rsidRPr="00CF1AE2">
              <w:rPr>
                <w:rFonts w:ascii="Times New Roman" w:hAnsi="Times New Roman"/>
                <w:sz w:val="20"/>
              </w:rPr>
              <w:t>12.5%</w:t>
            </w:r>
          </w:p>
        </w:tc>
        <w:tc>
          <w:tcPr>
            <w:tcW w:w="421" w:type="pct"/>
            <w:tcBorders>
              <w:top w:val="single" w:sz="6" w:space="0" w:color="auto"/>
              <w:left w:val="single" w:sz="4" w:space="0" w:color="auto"/>
              <w:bottom w:val="single" w:sz="6" w:space="0" w:color="auto"/>
              <w:right w:val="single" w:sz="4" w:space="0" w:color="auto"/>
            </w:tcBorders>
            <w:vAlign w:val="center"/>
            <w:hideMark/>
          </w:tcPr>
          <w:p w14:paraId="72FE4813"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100%</w:t>
            </w:r>
          </w:p>
        </w:tc>
      </w:tr>
      <w:tr w:rsidR="00AC72BB" w14:paraId="7BBBF1E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06DFDA3F"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18" w:space="0" w:color="auto"/>
              <w:right w:val="single" w:sz="6" w:space="0" w:color="auto"/>
            </w:tcBorders>
            <w:vAlign w:val="center"/>
            <w:hideMark/>
          </w:tcPr>
          <w:p w14:paraId="54C4577C" w14:textId="77777777" w:rsidR="00AC72BB" w:rsidRDefault="00AC72BB">
            <w:pPr>
              <w:spacing w:line="256" w:lineRule="auto"/>
              <w:jc w:val="center"/>
              <w:rPr>
                <w:rFonts w:ascii="Times New Roman" w:hAnsi="Times New Roman"/>
                <w:sz w:val="18"/>
                <w:szCs w:val="18"/>
              </w:rPr>
            </w:pPr>
            <w:r>
              <w:rPr>
                <w:rFonts w:ascii="Times New Roman" w:hAnsi="Times New Roman"/>
                <w:sz w:val="16"/>
                <w:szCs w:val="16"/>
              </w:rPr>
              <w:t>5.</w:t>
            </w:r>
          </w:p>
        </w:tc>
        <w:tc>
          <w:tcPr>
            <w:tcW w:w="442" w:type="pct"/>
            <w:tcBorders>
              <w:top w:val="single" w:sz="6" w:space="0" w:color="auto"/>
              <w:left w:val="single" w:sz="6" w:space="0" w:color="auto"/>
              <w:bottom w:val="single" w:sz="18" w:space="0" w:color="auto"/>
              <w:right w:val="single" w:sz="6" w:space="0" w:color="auto"/>
            </w:tcBorders>
            <w:vAlign w:val="center"/>
            <w:hideMark/>
          </w:tcPr>
          <w:p w14:paraId="0B5D1D85"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Desarrollar</w:t>
            </w:r>
          </w:p>
          <w:p w14:paraId="0E423942"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e</w:t>
            </w:r>
          </w:p>
          <w:p w14:paraId="1D9B4676" w14:textId="77777777" w:rsidR="00AC72BB" w:rsidRDefault="00AC72BB">
            <w:pPr>
              <w:spacing w:line="256" w:lineRule="auto"/>
              <w:jc w:val="center"/>
              <w:rPr>
                <w:rFonts w:ascii="Times New Roman" w:hAnsi="Times New Roman"/>
                <w:sz w:val="20"/>
              </w:rPr>
            </w:pPr>
            <w:r>
              <w:rPr>
                <w:rFonts w:ascii="Times New Roman" w:hAnsi="Times New Roman"/>
                <w:i/>
                <w:iCs/>
                <w:sz w:val="16"/>
                <w:szCs w:val="16"/>
                <w:lang w:eastAsia="es-CO"/>
              </w:rPr>
              <w:t>implementar</w:t>
            </w:r>
          </w:p>
        </w:tc>
        <w:tc>
          <w:tcPr>
            <w:tcW w:w="487" w:type="pct"/>
            <w:tcBorders>
              <w:top w:val="single" w:sz="6" w:space="0" w:color="auto"/>
              <w:left w:val="single" w:sz="6" w:space="0" w:color="auto"/>
              <w:bottom w:val="single" w:sz="18" w:space="0" w:color="auto"/>
              <w:right w:val="single" w:sz="6" w:space="0" w:color="auto"/>
            </w:tcBorders>
            <w:vAlign w:val="center"/>
            <w:hideMark/>
          </w:tcPr>
          <w:p w14:paraId="68EADA28" w14:textId="77777777" w:rsidR="00AC72BB" w:rsidRDefault="00AC72BB">
            <w:pPr>
              <w:spacing w:line="256" w:lineRule="auto"/>
              <w:jc w:val="center"/>
              <w:rPr>
                <w:rFonts w:ascii="Times New Roman" w:hAnsi="Times New Roman"/>
                <w:sz w:val="20"/>
              </w:rPr>
            </w:pPr>
            <w:r>
              <w:rPr>
                <w:rFonts w:ascii="Times New Roman" w:hAnsi="Times New Roman"/>
                <w:sz w:val="16"/>
                <w:szCs w:val="16"/>
              </w:rPr>
              <w:t>100%</w:t>
            </w:r>
          </w:p>
        </w:tc>
        <w:tc>
          <w:tcPr>
            <w:tcW w:w="421" w:type="pct"/>
            <w:tcBorders>
              <w:top w:val="single" w:sz="6" w:space="0" w:color="auto"/>
              <w:left w:val="single" w:sz="6" w:space="0" w:color="auto"/>
              <w:bottom w:val="single" w:sz="18" w:space="0" w:color="auto"/>
              <w:right w:val="single" w:sz="6" w:space="0" w:color="auto"/>
            </w:tcBorders>
            <w:vAlign w:val="center"/>
            <w:hideMark/>
          </w:tcPr>
          <w:p w14:paraId="14C020B4" w14:textId="77777777" w:rsidR="00AC72BB" w:rsidRDefault="00AC72BB">
            <w:pPr>
              <w:spacing w:line="256" w:lineRule="auto"/>
              <w:jc w:val="center"/>
              <w:rPr>
                <w:rFonts w:ascii="Times New Roman" w:hAnsi="Times New Roman"/>
                <w:sz w:val="20"/>
              </w:rPr>
            </w:pPr>
            <w:r>
              <w:rPr>
                <w:rFonts w:ascii="Times New Roman" w:hAnsi="Times New Roman"/>
                <w:sz w:val="16"/>
                <w:szCs w:val="16"/>
              </w:rPr>
              <w:t>Porcentaje</w:t>
            </w:r>
          </w:p>
        </w:tc>
        <w:tc>
          <w:tcPr>
            <w:tcW w:w="826" w:type="pct"/>
            <w:tcBorders>
              <w:top w:val="single" w:sz="6" w:space="0" w:color="auto"/>
              <w:left w:val="single" w:sz="6" w:space="0" w:color="auto"/>
              <w:bottom w:val="single" w:sz="18" w:space="0" w:color="auto"/>
              <w:right w:val="single" w:sz="4" w:space="0" w:color="auto"/>
            </w:tcBorders>
            <w:vAlign w:val="center"/>
            <w:hideMark/>
          </w:tcPr>
          <w:p w14:paraId="29B349A5"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i/>
                <w:iCs/>
                <w:sz w:val="18"/>
                <w:szCs w:val="18"/>
                <w:lang w:eastAsia="es-CO"/>
              </w:rPr>
              <w:t>De un modelo conceptual de captura de información sobre características del suelo en sitios con afectación (potencial y configurada) al suelo y/o agua subterránea del acuífero somero</w:t>
            </w:r>
          </w:p>
        </w:tc>
        <w:tc>
          <w:tcPr>
            <w:tcW w:w="306" w:type="pct"/>
            <w:tcBorders>
              <w:top w:val="single" w:sz="6" w:space="0" w:color="auto"/>
              <w:left w:val="single" w:sz="4" w:space="0" w:color="auto"/>
              <w:bottom w:val="single" w:sz="18" w:space="0" w:color="auto"/>
              <w:right w:val="single" w:sz="4" w:space="0" w:color="auto"/>
            </w:tcBorders>
            <w:vAlign w:val="center"/>
            <w:hideMark/>
          </w:tcPr>
          <w:p w14:paraId="5E1D17E1" w14:textId="77777777" w:rsidR="00AC72BB" w:rsidRPr="00CF1AE2" w:rsidRDefault="00AC72BB">
            <w:pPr>
              <w:spacing w:line="256" w:lineRule="auto"/>
              <w:jc w:val="center"/>
              <w:rPr>
                <w:rFonts w:ascii="Times New Roman" w:hAnsi="Times New Roman"/>
                <w:sz w:val="20"/>
              </w:rPr>
            </w:pPr>
            <w:r w:rsidRPr="00CF1AE2">
              <w:rPr>
                <w:rFonts w:ascii="Times New Roman" w:hAnsi="Times New Roman"/>
                <w:sz w:val="20"/>
              </w:rPr>
              <w:t>0%</w:t>
            </w:r>
          </w:p>
        </w:tc>
        <w:tc>
          <w:tcPr>
            <w:tcW w:w="283" w:type="pct"/>
            <w:tcBorders>
              <w:top w:val="single" w:sz="6" w:space="0" w:color="auto"/>
              <w:left w:val="single" w:sz="4" w:space="0" w:color="auto"/>
              <w:bottom w:val="single" w:sz="18" w:space="0" w:color="auto"/>
              <w:right w:val="single" w:sz="4" w:space="0" w:color="auto"/>
            </w:tcBorders>
            <w:vAlign w:val="center"/>
            <w:hideMark/>
          </w:tcPr>
          <w:p w14:paraId="1D2A03E2" w14:textId="77777777" w:rsidR="00AC72BB" w:rsidRPr="00CF1AE2" w:rsidRDefault="00AC72BB">
            <w:pPr>
              <w:spacing w:line="256" w:lineRule="auto"/>
              <w:jc w:val="center"/>
              <w:rPr>
                <w:rFonts w:ascii="Times New Roman" w:hAnsi="Times New Roman"/>
                <w:sz w:val="20"/>
              </w:rPr>
            </w:pPr>
            <w:r w:rsidRPr="00CF1AE2">
              <w:rPr>
                <w:rFonts w:ascii="Times New Roman" w:hAnsi="Times New Roman"/>
                <w:sz w:val="20"/>
              </w:rPr>
              <w:t>0%</w:t>
            </w:r>
          </w:p>
        </w:tc>
        <w:tc>
          <w:tcPr>
            <w:tcW w:w="329" w:type="pct"/>
            <w:tcBorders>
              <w:top w:val="single" w:sz="6" w:space="0" w:color="auto"/>
              <w:left w:val="single" w:sz="4" w:space="0" w:color="auto"/>
              <w:bottom w:val="single" w:sz="18" w:space="0" w:color="auto"/>
              <w:right w:val="single" w:sz="4" w:space="0" w:color="auto"/>
            </w:tcBorders>
            <w:vAlign w:val="center"/>
            <w:hideMark/>
          </w:tcPr>
          <w:p w14:paraId="6FE3B337" w14:textId="08DFF48D" w:rsidR="00AC72BB" w:rsidRPr="00CF1AE2" w:rsidRDefault="00F500BC">
            <w:pPr>
              <w:spacing w:line="256" w:lineRule="auto"/>
              <w:jc w:val="center"/>
              <w:rPr>
                <w:rFonts w:ascii="Times New Roman" w:hAnsi="Times New Roman"/>
                <w:sz w:val="20"/>
              </w:rPr>
            </w:pPr>
            <w:r w:rsidRPr="00CF1AE2">
              <w:rPr>
                <w:rFonts w:ascii="Times New Roman" w:hAnsi="Times New Roman"/>
                <w:sz w:val="20"/>
              </w:rPr>
              <w:t>10</w:t>
            </w:r>
            <w:r w:rsidR="00AC72BB" w:rsidRPr="00CF1AE2">
              <w:rPr>
                <w:rFonts w:ascii="Times New Roman" w:hAnsi="Times New Roman"/>
                <w:sz w:val="20"/>
              </w:rPr>
              <w:t>%</w:t>
            </w:r>
          </w:p>
        </w:tc>
        <w:tc>
          <w:tcPr>
            <w:tcW w:w="283" w:type="pct"/>
            <w:tcBorders>
              <w:top w:val="single" w:sz="6" w:space="0" w:color="auto"/>
              <w:left w:val="single" w:sz="4" w:space="0" w:color="auto"/>
              <w:bottom w:val="single" w:sz="18" w:space="0" w:color="auto"/>
              <w:right w:val="single" w:sz="4" w:space="0" w:color="auto"/>
            </w:tcBorders>
            <w:vAlign w:val="center"/>
            <w:hideMark/>
          </w:tcPr>
          <w:p w14:paraId="0D5F3514" w14:textId="283FF4B8" w:rsidR="00AC72BB" w:rsidRPr="00CF1AE2" w:rsidRDefault="00F500BC">
            <w:pPr>
              <w:spacing w:line="256" w:lineRule="auto"/>
              <w:jc w:val="center"/>
              <w:rPr>
                <w:rFonts w:ascii="Times New Roman" w:hAnsi="Times New Roman"/>
                <w:sz w:val="20"/>
              </w:rPr>
            </w:pPr>
            <w:r w:rsidRPr="00CF1AE2">
              <w:rPr>
                <w:rFonts w:ascii="Times New Roman" w:hAnsi="Times New Roman"/>
                <w:sz w:val="20"/>
              </w:rPr>
              <w:t>90</w:t>
            </w:r>
            <w:r w:rsidR="00AC72BB" w:rsidRPr="00CF1AE2">
              <w:rPr>
                <w:rFonts w:ascii="Times New Roman" w:hAnsi="Times New Roman"/>
                <w:sz w:val="20"/>
              </w:rPr>
              <w:t>%</w:t>
            </w:r>
          </w:p>
        </w:tc>
        <w:tc>
          <w:tcPr>
            <w:tcW w:w="306" w:type="pct"/>
            <w:tcBorders>
              <w:top w:val="single" w:sz="6" w:space="0" w:color="auto"/>
              <w:left w:val="single" w:sz="4" w:space="0" w:color="auto"/>
              <w:bottom w:val="single" w:sz="18" w:space="0" w:color="auto"/>
              <w:right w:val="single" w:sz="4" w:space="0" w:color="auto"/>
            </w:tcBorders>
            <w:vAlign w:val="center"/>
            <w:hideMark/>
          </w:tcPr>
          <w:p w14:paraId="1883E98E" w14:textId="77777777" w:rsidR="00AC72BB" w:rsidRPr="00CF1AE2" w:rsidRDefault="00AC72BB">
            <w:pPr>
              <w:spacing w:line="256" w:lineRule="auto"/>
              <w:jc w:val="center"/>
              <w:rPr>
                <w:rFonts w:ascii="Times New Roman" w:hAnsi="Times New Roman"/>
                <w:sz w:val="20"/>
              </w:rPr>
            </w:pPr>
            <w:r w:rsidRPr="00CF1AE2">
              <w:rPr>
                <w:rFonts w:ascii="Times New Roman" w:hAnsi="Times New Roman"/>
                <w:sz w:val="20"/>
              </w:rPr>
              <w:t>0%</w:t>
            </w:r>
          </w:p>
        </w:tc>
        <w:tc>
          <w:tcPr>
            <w:tcW w:w="421" w:type="pct"/>
            <w:tcBorders>
              <w:top w:val="single" w:sz="6" w:space="0" w:color="auto"/>
              <w:left w:val="single" w:sz="4" w:space="0" w:color="auto"/>
              <w:bottom w:val="single" w:sz="18" w:space="0" w:color="auto"/>
              <w:right w:val="single" w:sz="4" w:space="0" w:color="auto"/>
            </w:tcBorders>
            <w:vAlign w:val="center"/>
            <w:hideMark/>
          </w:tcPr>
          <w:p w14:paraId="17A3A349"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100%</w:t>
            </w:r>
          </w:p>
        </w:tc>
      </w:tr>
    </w:tbl>
    <w:p w14:paraId="743CD2BB"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29C06D90" w14:textId="77777777" w:rsidR="00AC72BB" w:rsidRDefault="00AC72BB" w:rsidP="00AC72BB">
      <w:pPr>
        <w:jc w:val="left"/>
        <w:rPr>
          <w:rFonts w:ascii="Times New Roman" w:hAnsi="Times New Roman"/>
          <w:szCs w:val="24"/>
          <w:lang w:eastAsia="es-CO"/>
        </w:rPr>
      </w:pPr>
      <w:r>
        <w:rPr>
          <w:rFonts w:ascii="Times New Roman" w:hAnsi="Times New Roman"/>
          <w:szCs w:val="24"/>
          <w:lang w:eastAsia="es-CO"/>
        </w:rPr>
        <w:t>De acuerdo con los planteamientos de antecedentes y situación actual del problema citado se establecieron los indicadores de cada objetivo específico de la siguiente manera:</w:t>
      </w:r>
    </w:p>
    <w:p w14:paraId="5637F611" w14:textId="77777777" w:rsidR="00AC72BB" w:rsidRDefault="00AC72BB" w:rsidP="00AC72BB">
      <w:pPr>
        <w:jc w:val="left"/>
        <w:rPr>
          <w:rFonts w:ascii="Times New Roman" w:hAnsi="Times New Roman"/>
          <w:szCs w:val="24"/>
          <w:highlight w:val="green"/>
          <w:lang w:eastAsia="es-CO"/>
        </w:rPr>
      </w:pPr>
    </w:p>
    <w:p w14:paraId="14096922" w14:textId="77777777" w:rsidR="00AC72BB" w:rsidRDefault="00AC72BB" w:rsidP="00AC72BB">
      <w:pPr>
        <w:jc w:val="center"/>
        <w:rPr>
          <w:rFonts w:ascii="Times New Roman" w:hAnsi="Times New Roman"/>
          <w:sz w:val="22"/>
          <w:szCs w:val="22"/>
        </w:rPr>
      </w:pPr>
      <w:r>
        <w:rPr>
          <w:rFonts w:ascii="Times New Roman" w:hAnsi="Times New Roman"/>
          <w:sz w:val="22"/>
          <w:szCs w:val="22"/>
        </w:rPr>
        <w:t xml:space="preserve">Tabla 10. Indicadores de los objetivos específicos. </w:t>
      </w:r>
    </w:p>
    <w:tbl>
      <w:tblPr>
        <w:tblW w:w="9780" w:type="dxa"/>
        <w:tblInd w:w="-147" w:type="dxa"/>
        <w:tblLayout w:type="fixed"/>
        <w:tblCellMar>
          <w:left w:w="70" w:type="dxa"/>
          <w:right w:w="70" w:type="dxa"/>
        </w:tblCellMar>
        <w:tblLook w:val="04A0" w:firstRow="1" w:lastRow="0" w:firstColumn="1" w:lastColumn="0" w:noHBand="0" w:noVBand="1"/>
      </w:tblPr>
      <w:tblGrid>
        <w:gridCol w:w="3118"/>
        <w:gridCol w:w="1276"/>
        <w:gridCol w:w="1559"/>
        <w:gridCol w:w="992"/>
        <w:gridCol w:w="2835"/>
      </w:tblGrid>
      <w:tr w:rsidR="00AC72BB" w14:paraId="76E3DE52" w14:textId="77777777" w:rsidTr="00AC72BB">
        <w:trPr>
          <w:trHeight w:val="385"/>
        </w:trPr>
        <w:tc>
          <w:tcPr>
            <w:tcW w:w="311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130668"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27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E9A172"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559"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E347D6"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99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F47CA24"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83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022820B"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AC72BB" w14:paraId="036CF6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1ED4F996"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320102100 Documentos de instrumentos técnicos de evaluación y seguimiento ambiental </w:t>
            </w:r>
            <w:proofErr w:type="gramStart"/>
            <w:r>
              <w:rPr>
                <w:rFonts w:ascii="Times New Roman" w:hAnsi="Times New Roman"/>
                <w:sz w:val="20"/>
              </w:rPr>
              <w:t>realizados  a</w:t>
            </w:r>
            <w:proofErr w:type="gramEnd"/>
            <w:r>
              <w:rPr>
                <w:rFonts w:ascii="Times New Roman" w:hAnsi="Times New Roman"/>
                <w:sz w:val="20"/>
              </w:rPr>
              <w:t xml:space="preserve">  predios , asociados a actividades industriales, de servicios y con antecedentes de extracción de minerales con afectación al suelo y al agua subterránea del acuífero somero.</w:t>
            </w:r>
          </w:p>
        </w:tc>
        <w:tc>
          <w:tcPr>
            <w:tcW w:w="1276" w:type="dxa"/>
            <w:tcBorders>
              <w:top w:val="nil"/>
              <w:left w:val="nil"/>
              <w:bottom w:val="single" w:sz="4" w:space="0" w:color="auto"/>
              <w:right w:val="single" w:sz="4" w:space="0" w:color="auto"/>
            </w:tcBorders>
            <w:vAlign w:val="center"/>
            <w:hideMark/>
          </w:tcPr>
          <w:p w14:paraId="6B77A477"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Número </w:t>
            </w:r>
          </w:p>
        </w:tc>
        <w:tc>
          <w:tcPr>
            <w:tcW w:w="1559" w:type="dxa"/>
            <w:tcBorders>
              <w:top w:val="nil"/>
              <w:left w:val="nil"/>
              <w:bottom w:val="single" w:sz="4" w:space="0" w:color="auto"/>
              <w:right w:val="single" w:sz="4" w:space="0" w:color="auto"/>
            </w:tcBorders>
            <w:noWrap/>
            <w:vAlign w:val="center"/>
            <w:hideMark/>
          </w:tcPr>
          <w:p w14:paraId="67ED532D" w14:textId="2BC7A684" w:rsidR="00AC72BB" w:rsidRDefault="005A7F13">
            <w:pPr>
              <w:spacing w:line="256" w:lineRule="auto"/>
              <w:jc w:val="center"/>
              <w:rPr>
                <w:rFonts w:ascii="Times New Roman" w:hAnsi="Times New Roman"/>
                <w:sz w:val="20"/>
                <w:lang w:eastAsia="es-CO"/>
              </w:rPr>
            </w:pPr>
            <w:r>
              <w:rPr>
                <w:rFonts w:ascii="Times New Roman" w:hAnsi="Times New Roman"/>
                <w:sz w:val="20"/>
                <w:lang w:eastAsia="es-CO"/>
              </w:rPr>
              <w:t>1000</w:t>
            </w:r>
            <w:r w:rsidR="00AC72BB">
              <w:rPr>
                <w:rFonts w:ascii="Times New Roman" w:hAnsi="Times New Roman"/>
                <w:sz w:val="20"/>
                <w:lang w:eastAsia="es-CO"/>
              </w:rPr>
              <w:t xml:space="preserve"> predios con </w:t>
            </w:r>
            <w:r>
              <w:rPr>
                <w:rFonts w:ascii="Times New Roman" w:hAnsi="Times New Roman"/>
                <w:sz w:val="20"/>
                <w:lang w:eastAsia="es-CO"/>
              </w:rPr>
              <w:t xml:space="preserve">700 </w:t>
            </w:r>
            <w:r w:rsidR="00AC72BB">
              <w:rPr>
                <w:rFonts w:ascii="Times New Roman" w:hAnsi="Times New Roman"/>
                <w:sz w:val="20"/>
                <w:lang w:eastAsia="es-CO"/>
              </w:rPr>
              <w:t>documentos de instrumento técnico de evaluación control y seguimiento</w:t>
            </w:r>
          </w:p>
        </w:tc>
        <w:tc>
          <w:tcPr>
            <w:tcW w:w="992" w:type="dxa"/>
            <w:tcBorders>
              <w:top w:val="nil"/>
              <w:left w:val="nil"/>
              <w:bottom w:val="single" w:sz="4" w:space="0" w:color="auto"/>
              <w:right w:val="single" w:sz="4" w:space="0" w:color="auto"/>
            </w:tcBorders>
            <w:vAlign w:val="center"/>
            <w:hideMark/>
          </w:tcPr>
          <w:p w14:paraId="169CDF8F"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t>Informes</w:t>
            </w:r>
          </w:p>
        </w:tc>
        <w:tc>
          <w:tcPr>
            <w:tcW w:w="2835" w:type="dxa"/>
            <w:tcBorders>
              <w:top w:val="nil"/>
              <w:left w:val="nil"/>
              <w:bottom w:val="single" w:sz="4" w:space="0" w:color="auto"/>
              <w:right w:val="single" w:sz="4" w:space="0" w:color="auto"/>
            </w:tcBorders>
            <w:vAlign w:val="center"/>
          </w:tcPr>
          <w:p w14:paraId="1B392E3E"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7BAFCA53" w14:textId="77777777" w:rsidR="00AC72BB" w:rsidRDefault="00AC72BB">
            <w:pPr>
              <w:spacing w:line="256" w:lineRule="auto"/>
              <w:rPr>
                <w:rFonts w:ascii="Times New Roman" w:hAnsi="Times New Roman"/>
                <w:sz w:val="20"/>
                <w:lang w:eastAsia="es-CO"/>
              </w:rPr>
            </w:pPr>
          </w:p>
          <w:p w14:paraId="21F1CF23"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54A4244A"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111C06"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r w:rsidR="00AC72BB" w14:paraId="6155BA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063F7B21"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320101500 Documentos de lineamientos técnicos </w:t>
            </w:r>
            <w:proofErr w:type="gramStart"/>
            <w:r>
              <w:rPr>
                <w:rFonts w:ascii="Times New Roman" w:hAnsi="Times New Roman"/>
                <w:sz w:val="20"/>
              </w:rPr>
              <w:t>para  promover</w:t>
            </w:r>
            <w:proofErr w:type="gramEnd"/>
            <w:r>
              <w:rPr>
                <w:rFonts w:ascii="Times New Roman" w:hAnsi="Times New Roman"/>
                <w:sz w:val="20"/>
              </w:rPr>
              <w:t xml:space="preserve"> la gestión sostenible del suelo elaborados que se basan en la construcción e implementación del modelo conceptual de captura de información sobre características del suelo en sitios con afectación </w:t>
            </w:r>
            <w:r>
              <w:rPr>
                <w:rFonts w:ascii="Times New Roman" w:hAnsi="Times New Roman"/>
                <w:sz w:val="20"/>
              </w:rPr>
              <w:lastRenderedPageBreak/>
              <w:t>(potencial y configurada) al suelo y/o agua subterránea del acuífero somero.</w:t>
            </w:r>
          </w:p>
        </w:tc>
        <w:tc>
          <w:tcPr>
            <w:tcW w:w="1276" w:type="dxa"/>
            <w:tcBorders>
              <w:top w:val="nil"/>
              <w:left w:val="nil"/>
              <w:bottom w:val="single" w:sz="4" w:space="0" w:color="auto"/>
              <w:right w:val="single" w:sz="4" w:space="0" w:color="auto"/>
            </w:tcBorders>
            <w:vAlign w:val="center"/>
            <w:hideMark/>
          </w:tcPr>
          <w:p w14:paraId="4C634A46"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lastRenderedPageBreak/>
              <w:t>Número</w:t>
            </w:r>
          </w:p>
        </w:tc>
        <w:tc>
          <w:tcPr>
            <w:tcW w:w="1559" w:type="dxa"/>
            <w:tcBorders>
              <w:top w:val="nil"/>
              <w:left w:val="nil"/>
              <w:bottom w:val="single" w:sz="4" w:space="0" w:color="auto"/>
              <w:right w:val="single" w:sz="4" w:space="0" w:color="auto"/>
            </w:tcBorders>
            <w:noWrap/>
            <w:vAlign w:val="center"/>
            <w:hideMark/>
          </w:tcPr>
          <w:p w14:paraId="18253C7E"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1 modelo conceptual de captura de información sobre características del suelo en sitios con </w:t>
            </w:r>
            <w:r>
              <w:rPr>
                <w:rFonts w:ascii="Times New Roman" w:hAnsi="Times New Roman"/>
                <w:sz w:val="20"/>
              </w:rPr>
              <w:lastRenderedPageBreak/>
              <w:t>afectación (potencial y configurada) al suelo y/o agua subterránea del acuífero somero.</w:t>
            </w:r>
          </w:p>
        </w:tc>
        <w:tc>
          <w:tcPr>
            <w:tcW w:w="992" w:type="dxa"/>
            <w:tcBorders>
              <w:top w:val="nil"/>
              <w:left w:val="nil"/>
              <w:bottom w:val="single" w:sz="4" w:space="0" w:color="auto"/>
              <w:right w:val="single" w:sz="4" w:space="0" w:color="auto"/>
            </w:tcBorders>
            <w:vAlign w:val="center"/>
            <w:hideMark/>
          </w:tcPr>
          <w:p w14:paraId="678E782D"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lastRenderedPageBreak/>
              <w:t>Informes</w:t>
            </w:r>
          </w:p>
        </w:tc>
        <w:tc>
          <w:tcPr>
            <w:tcW w:w="2835" w:type="dxa"/>
            <w:tcBorders>
              <w:top w:val="nil"/>
              <w:left w:val="nil"/>
              <w:bottom w:val="single" w:sz="4" w:space="0" w:color="auto"/>
              <w:right w:val="single" w:sz="4" w:space="0" w:color="auto"/>
            </w:tcBorders>
            <w:vAlign w:val="center"/>
            <w:hideMark/>
          </w:tcPr>
          <w:p w14:paraId="5FA53E59"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Informes de avance de ejecución de fases en la construcción e implementación del modelo conceptual planteado</w:t>
            </w:r>
          </w:p>
        </w:tc>
      </w:tr>
    </w:tbl>
    <w:p w14:paraId="30E6FFE6"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362997A" w:rsidR="00F550E3" w:rsidRPr="009E019D"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016F03A9" w14:textId="77777777" w:rsidR="00AC6C47" w:rsidRDefault="00AC6C47" w:rsidP="00AC6C47">
      <w:pPr>
        <w:jc w:val="left"/>
        <w:rPr>
          <w:rFonts w:ascii="Times New Roman" w:hAnsi="Times New Roman"/>
          <w:szCs w:val="24"/>
          <w:lang w:eastAsia="es-CO"/>
        </w:rPr>
      </w:pPr>
      <w:r>
        <w:rPr>
          <w:rFonts w:ascii="Times New Roman" w:hAnsi="Times New Roman"/>
          <w:szCs w:val="24"/>
          <w:lang w:eastAsia="es-CO"/>
        </w:rPr>
        <w:t>De acuerdo con las metas de proyecto de inversión planteadas se identificaron las siguientes actividades, como tareas específicas para el desarrollo de las metas:</w:t>
      </w:r>
    </w:p>
    <w:p w14:paraId="1AEC2B96" w14:textId="77777777" w:rsidR="00AC6C47" w:rsidRDefault="00AC6C47" w:rsidP="00AC6C47">
      <w:pPr>
        <w:jc w:val="left"/>
        <w:rPr>
          <w:rFonts w:ascii="Times New Roman" w:hAnsi="Times New Roman"/>
          <w:szCs w:val="24"/>
          <w:highlight w:val="green"/>
          <w:lang w:eastAsia="es-CO"/>
        </w:rPr>
      </w:pPr>
    </w:p>
    <w:p w14:paraId="7150CE04" w14:textId="77777777" w:rsidR="00AC6C47" w:rsidRDefault="00AC6C47" w:rsidP="00AC6C47">
      <w:pPr>
        <w:jc w:val="left"/>
        <w:rPr>
          <w:rFonts w:ascii="Times New Roman" w:hAnsi="Times New Roman"/>
          <w:szCs w:val="24"/>
          <w:highlight w:val="green"/>
          <w:lang w:eastAsia="es-CO"/>
        </w:rPr>
      </w:pPr>
    </w:p>
    <w:p w14:paraId="43FC6175" w14:textId="77777777" w:rsidR="00AC6C47" w:rsidRDefault="00AC6C47" w:rsidP="00AC6C47">
      <w:pPr>
        <w:jc w:val="left"/>
        <w:rPr>
          <w:rFonts w:ascii="Times New Roman" w:hAnsi="Times New Roman"/>
          <w:szCs w:val="24"/>
          <w:highlight w:val="green"/>
          <w:lang w:eastAsia="es-CO"/>
        </w:rPr>
      </w:pPr>
    </w:p>
    <w:p w14:paraId="44339A3F" w14:textId="77777777" w:rsidR="00AC6C47" w:rsidRDefault="00AC6C47" w:rsidP="00AC6C47">
      <w:pPr>
        <w:jc w:val="left"/>
        <w:rPr>
          <w:rFonts w:ascii="Times New Roman" w:hAnsi="Times New Roman"/>
          <w:szCs w:val="24"/>
          <w:highlight w:val="green"/>
          <w:lang w:eastAsia="es-CO"/>
        </w:rPr>
      </w:pPr>
    </w:p>
    <w:p w14:paraId="0AB14D70" w14:textId="77777777" w:rsidR="00AC6C47" w:rsidRDefault="00AC6C47" w:rsidP="00AC6C47">
      <w:pPr>
        <w:jc w:val="left"/>
        <w:rPr>
          <w:rFonts w:ascii="Times New Roman" w:hAnsi="Times New Roman"/>
          <w:szCs w:val="24"/>
          <w:highlight w:val="green"/>
          <w:lang w:eastAsia="es-CO"/>
        </w:rPr>
      </w:pPr>
    </w:p>
    <w:p w14:paraId="4EF48067" w14:textId="77777777" w:rsidR="00AC6C47" w:rsidRDefault="00AC6C47" w:rsidP="00AC6C47">
      <w:pPr>
        <w:jc w:val="left"/>
        <w:rPr>
          <w:rFonts w:ascii="Times New Roman" w:hAnsi="Times New Roman"/>
          <w:sz w:val="22"/>
          <w:szCs w:val="22"/>
        </w:rPr>
        <w:sectPr w:rsidR="00AC6C47">
          <w:pgSz w:w="12240" w:h="15840"/>
          <w:pgMar w:top="1418" w:right="1276" w:bottom="992" w:left="1701" w:header="709" w:footer="709" w:gutter="0"/>
          <w:cols w:space="720"/>
        </w:sectPr>
      </w:pPr>
    </w:p>
    <w:p w14:paraId="14EECA89" w14:textId="77777777" w:rsidR="00AC6C47" w:rsidRDefault="00AC6C47" w:rsidP="00AC6C47">
      <w:pPr>
        <w:jc w:val="center"/>
        <w:rPr>
          <w:rFonts w:ascii="Times New Roman" w:hAnsi="Times New Roman"/>
          <w:sz w:val="22"/>
          <w:szCs w:val="22"/>
        </w:rPr>
      </w:pPr>
      <w:r>
        <w:rPr>
          <w:rFonts w:ascii="Times New Roman" w:hAnsi="Times New Roman"/>
          <w:sz w:val="22"/>
          <w:szCs w:val="22"/>
        </w:rPr>
        <w:lastRenderedPageBreak/>
        <w:t xml:space="preserve">Tabla 11. Tareas en ejecución de las metas de plan de desarrollo. </w:t>
      </w:r>
    </w:p>
    <w:tbl>
      <w:tblPr>
        <w:tblW w:w="13887" w:type="dxa"/>
        <w:jc w:val="center"/>
        <w:tblCellMar>
          <w:left w:w="70" w:type="dxa"/>
          <w:right w:w="70" w:type="dxa"/>
        </w:tblCellMar>
        <w:tblLook w:val="04A0" w:firstRow="1" w:lastRow="0" w:firstColumn="1" w:lastColumn="0" w:noHBand="0" w:noVBand="1"/>
      </w:tblPr>
      <w:tblGrid>
        <w:gridCol w:w="2547"/>
        <w:gridCol w:w="2551"/>
        <w:gridCol w:w="3544"/>
        <w:gridCol w:w="709"/>
        <w:gridCol w:w="4536"/>
      </w:tblGrid>
      <w:tr w:rsidR="00AC6C47" w:rsidRPr="00981597" w14:paraId="342E78DB" w14:textId="77777777" w:rsidTr="00AC6C47">
        <w:trPr>
          <w:trHeight w:val="345"/>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27DC9874"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META PROYECTO DE INVERSION</w:t>
            </w:r>
          </w:p>
        </w:tc>
        <w:tc>
          <w:tcPr>
            <w:tcW w:w="255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4D153D6"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ACTIVIDADES (TAREAS ESPECIFICAS)</w:t>
            </w:r>
          </w:p>
        </w:tc>
        <w:tc>
          <w:tcPr>
            <w:tcW w:w="8789" w:type="dxa"/>
            <w:gridSpan w:val="3"/>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7D8A0D55"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DESCRIPCIÓN</w:t>
            </w:r>
          </w:p>
        </w:tc>
      </w:tr>
      <w:tr w:rsidR="00AC6C47" w14:paraId="262A093D" w14:textId="77777777" w:rsidTr="00AC6C47">
        <w:trPr>
          <w:trHeight w:val="2259"/>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5DF308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Ejecutar 567 actividades de evaluación, control y seguimiento como mínimo, a predios que realizan o realizaron almacenamiento y distribución de hidrocarburos líquidos derivados del petróleo en el Distrito Capital.</w:t>
            </w:r>
          </w:p>
        </w:tc>
        <w:tc>
          <w:tcPr>
            <w:tcW w:w="2551" w:type="dxa"/>
            <w:tcBorders>
              <w:top w:val="nil"/>
              <w:left w:val="nil"/>
              <w:bottom w:val="single" w:sz="4" w:space="0" w:color="auto"/>
              <w:right w:val="single" w:sz="4" w:space="0" w:color="auto"/>
            </w:tcBorders>
            <w:vAlign w:val="center"/>
            <w:hideMark/>
          </w:tcPr>
          <w:p w14:paraId="0E551252"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Atender el 100% de solicitudes relacionadas con evaluación de planes de contingencias para el almacenamiento de hidrocarburos líquidos derivados de petróleo en el Distrito Capital.</w:t>
            </w:r>
          </w:p>
        </w:tc>
        <w:tc>
          <w:tcPr>
            <w:tcW w:w="8789" w:type="dxa"/>
            <w:gridSpan w:val="3"/>
            <w:tcBorders>
              <w:top w:val="nil"/>
              <w:left w:val="nil"/>
              <w:bottom w:val="single" w:sz="4" w:space="0" w:color="auto"/>
              <w:right w:val="single" w:sz="4" w:space="0" w:color="auto"/>
            </w:tcBorders>
            <w:vAlign w:val="bottom"/>
            <w:hideMark/>
          </w:tcPr>
          <w:p w14:paraId="70AC89A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Los establecimientos que realizan almacenamiento y distribución de hidrocarburos se encuentran obligados a contar con un Plan de contingencia para el derrame de hidrocarburos de acuerdo a lo establecido en el Artículo 7 del Decreto 50 de 2018, sin embargo para que la actividad cuente con validación por parte de la Secretaria Distrital de Ambiente, se debe verificar el cumplimiento de los lineamientos establecidos en la Resolución 1168 de 2015 para lo cual profesionales técnicos del Grupo de hidrocarburos deben realizar una evaluación de los documentos de plan de contingencia emitidos garantizando que en el evento de contingencia se cumplan los protocolos establecidos y se realice de manera adecuada el reporte en la Ventanilla Integral de Tramites ambientales VITAL, acorde a la Resolución 1486 de 2018</w:t>
            </w:r>
          </w:p>
        </w:tc>
      </w:tr>
      <w:tr w:rsidR="00AC6C47" w14:paraId="28041C5F" w14:textId="77777777" w:rsidTr="00AC6C47">
        <w:trPr>
          <w:trHeight w:val="4170"/>
          <w:jc w:val="center"/>
        </w:trPr>
        <w:tc>
          <w:tcPr>
            <w:tcW w:w="0" w:type="auto"/>
            <w:vMerge/>
            <w:tcBorders>
              <w:top w:val="nil"/>
              <w:left w:val="single" w:sz="4" w:space="0" w:color="auto"/>
              <w:bottom w:val="single" w:sz="4" w:space="0" w:color="auto"/>
              <w:right w:val="single" w:sz="4" w:space="0" w:color="auto"/>
            </w:tcBorders>
            <w:vAlign w:val="center"/>
            <w:hideMark/>
          </w:tcPr>
          <w:p w14:paraId="35B131EB"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69D4C62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Realizar control, seguimiento y vigilancia a 567 predios de usuarios de Estaciones de Servicio y plantas de transferencia en el distrito capital.</w:t>
            </w:r>
          </w:p>
        </w:tc>
        <w:tc>
          <w:tcPr>
            <w:tcW w:w="8789" w:type="dxa"/>
            <w:gridSpan w:val="3"/>
            <w:tcBorders>
              <w:top w:val="nil"/>
              <w:left w:val="nil"/>
              <w:bottom w:val="single" w:sz="4" w:space="0" w:color="auto"/>
              <w:right w:val="single" w:sz="4" w:space="0" w:color="auto"/>
            </w:tcBorders>
            <w:vAlign w:val="bottom"/>
            <w:hideMark/>
          </w:tcPr>
          <w:p w14:paraId="22C2D8C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El distrito capital cuenta con 442 Estaciones de servicio y 4 plantas de transferencia que realizan actividades relacionadas con el almacenamiento y distribución de hidrocarburos, la SRHS a través del grupo de hidrocarburos, debe realizar las respectivas visitas de control y vigilancia que garanticen que los establecimientos cumplen con la normatividad establecida en las Resoluciones 1170/97 y 1188/03. Asimismo en los casos en los que evidencie afectación a suelo y al agua subterránea del acuífero somero deberá realizar la solicitud y seguimiento de estudios de sitio específicos que diagnostiquen el nivel de impacto en los predios.</w:t>
            </w:r>
            <w:r>
              <w:rPr>
                <w:rFonts w:ascii="Times New Roman" w:hAnsi="Times New Roman"/>
                <w:color w:val="000000"/>
                <w:sz w:val="20"/>
                <w:lang w:eastAsia="es-CO"/>
              </w:rPr>
              <w:br/>
            </w:r>
            <w:r>
              <w:rPr>
                <w:rFonts w:ascii="Times New Roman" w:hAnsi="Times New Roman"/>
                <w:color w:val="000000"/>
                <w:sz w:val="20"/>
                <w:lang w:eastAsia="es-CO"/>
              </w:rPr>
              <w:br/>
              <w:t>.-Elaborar el programa de visitas técnicas de control ambiental</w:t>
            </w:r>
            <w:r>
              <w:rPr>
                <w:rFonts w:ascii="Times New Roman" w:hAnsi="Times New Roman"/>
                <w:color w:val="000000"/>
                <w:sz w:val="20"/>
                <w:lang w:eastAsia="es-CO"/>
              </w:rPr>
              <w:br/>
              <w:t>-Solicitud de expediente por el técnico</w:t>
            </w:r>
            <w:r>
              <w:rPr>
                <w:rFonts w:ascii="Times New Roman" w:hAnsi="Times New Roman"/>
                <w:color w:val="000000"/>
                <w:sz w:val="20"/>
                <w:lang w:eastAsia="es-CO"/>
              </w:rPr>
              <w:br/>
              <w:t>-Visita técnica de inspección de cumplimiento normativo en predios que desarrollan actividades de almacenamiento y distribuyen combustibles</w:t>
            </w:r>
            <w:r>
              <w:rPr>
                <w:rFonts w:ascii="Times New Roman" w:hAnsi="Times New Roman"/>
                <w:color w:val="000000"/>
                <w:sz w:val="20"/>
                <w:lang w:eastAsia="es-CO"/>
              </w:rPr>
              <w:br/>
              <w:t>-Elaborar el concepto técnico.</w:t>
            </w:r>
            <w:r>
              <w:rPr>
                <w:rFonts w:ascii="Times New Roman" w:hAnsi="Times New Roman"/>
                <w:color w:val="000000"/>
                <w:sz w:val="20"/>
                <w:lang w:eastAsia="es-CO"/>
              </w:rPr>
              <w:br/>
              <w:t>-Si aplica. Inicio de proceso sancionatorio y/o requerimiento técnico para cumplimiento de normativa y diagnóstico ambiental.</w:t>
            </w:r>
            <w:r>
              <w:rPr>
                <w:rFonts w:ascii="Times New Roman" w:hAnsi="Times New Roman"/>
                <w:color w:val="000000"/>
                <w:sz w:val="20"/>
                <w:lang w:eastAsia="es-CO"/>
              </w:rPr>
              <w:br/>
              <w:t>- Recepción de propuestas de plan de trabajo de investigación.</w:t>
            </w:r>
            <w:r>
              <w:rPr>
                <w:rFonts w:ascii="Times New Roman" w:hAnsi="Times New Roman"/>
                <w:color w:val="000000"/>
                <w:sz w:val="20"/>
                <w:lang w:eastAsia="es-CO"/>
              </w:rPr>
              <w:br/>
              <w:t>- Si aplica, requerimiento de ajuste y programación de cronograma de acompañamientos.</w:t>
            </w:r>
            <w:r>
              <w:rPr>
                <w:rFonts w:ascii="Times New Roman" w:hAnsi="Times New Roman"/>
                <w:color w:val="000000"/>
                <w:sz w:val="20"/>
                <w:lang w:eastAsia="es-CO"/>
              </w:rPr>
              <w:br/>
              <w:t>- Recepción y evaluación de investigación de sitio generando un concepto técnico de control ambiental.</w:t>
            </w:r>
          </w:p>
        </w:tc>
      </w:tr>
      <w:tr w:rsidR="00AC6C47" w14:paraId="5B513D85" w14:textId="77777777" w:rsidTr="00AC6C47">
        <w:trPr>
          <w:trHeight w:val="2921"/>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40C1319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218 actividades de evaluación, control y seguimiento como mínimo, a predios afectados por la actividad extractiva de minerales en el Distrito Capital.</w:t>
            </w:r>
          </w:p>
        </w:tc>
        <w:tc>
          <w:tcPr>
            <w:tcW w:w="2551" w:type="dxa"/>
            <w:tcBorders>
              <w:top w:val="nil"/>
              <w:left w:val="nil"/>
              <w:bottom w:val="single" w:sz="4" w:space="0" w:color="auto"/>
              <w:right w:val="single" w:sz="4" w:space="0" w:color="auto"/>
            </w:tcBorders>
            <w:vAlign w:val="center"/>
            <w:hideMark/>
          </w:tcPr>
          <w:p w14:paraId="4E97655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evaluación y seguimiento al 100% de los predios afectados por la actividad extractiva de minerales que presentan el instrumento ambiental (PMA, LA, PMRRA y PRR), y a los establecidos u otorgados, en el perímetro urbano del D.C.</w:t>
            </w:r>
          </w:p>
        </w:tc>
        <w:tc>
          <w:tcPr>
            <w:tcW w:w="3544" w:type="dxa"/>
            <w:tcBorders>
              <w:top w:val="nil"/>
              <w:left w:val="nil"/>
              <w:bottom w:val="single" w:sz="4" w:space="0" w:color="auto"/>
              <w:right w:val="single" w:sz="4" w:space="0" w:color="auto"/>
            </w:tcBorders>
            <w:vAlign w:val="bottom"/>
            <w:hideMark/>
          </w:tcPr>
          <w:p w14:paraId="2117700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b/>
                <w:bCs/>
                <w:color w:val="000000"/>
                <w:sz w:val="20"/>
                <w:lang w:eastAsia="es-CO"/>
              </w:rPr>
              <w:t>Evaluación de instrumento ambiental</w:t>
            </w:r>
            <w:r>
              <w:rPr>
                <w:rFonts w:ascii="Times New Roman" w:hAnsi="Times New Roman"/>
                <w:color w:val="000000"/>
                <w:sz w:val="20"/>
                <w:lang w:eastAsia="es-CO"/>
              </w:rPr>
              <w:br/>
              <w:t>- Presentación del documento</w:t>
            </w:r>
            <w:r>
              <w:rPr>
                <w:rFonts w:ascii="Times New Roman" w:hAnsi="Times New Roman"/>
                <w:color w:val="000000"/>
                <w:sz w:val="20"/>
                <w:lang w:eastAsia="es-CO"/>
              </w:rPr>
              <w:br/>
              <w:t>- Revisión del expediente y el documento por los jurídicos</w:t>
            </w:r>
            <w:r>
              <w:rPr>
                <w:rFonts w:ascii="Times New Roman" w:hAnsi="Times New Roman"/>
                <w:color w:val="000000"/>
                <w:sz w:val="20"/>
                <w:lang w:eastAsia="es-CO"/>
              </w:rPr>
              <w:br/>
              <w:t>- Proyectar el auto de inicio del trámite administrativo ambiental de evaluación.</w:t>
            </w:r>
            <w:r>
              <w:rPr>
                <w:rFonts w:ascii="Times New Roman" w:hAnsi="Times New Roman"/>
                <w:color w:val="000000"/>
                <w:sz w:val="20"/>
                <w:lang w:eastAsia="es-CO"/>
              </w:rPr>
              <w:br/>
              <w:t>- Revisión del expediente, el documento por los técnicos y el auto de inicio.</w:t>
            </w:r>
            <w:r>
              <w:rPr>
                <w:rFonts w:ascii="Times New Roman" w:hAnsi="Times New Roman"/>
                <w:color w:val="000000"/>
                <w:sz w:val="20"/>
                <w:lang w:eastAsia="es-CO"/>
              </w:rPr>
              <w:br/>
              <w:t>- Visita técnica de evaluación.</w:t>
            </w:r>
            <w:r>
              <w:rPr>
                <w:rFonts w:ascii="Times New Roman" w:hAnsi="Times New Roman"/>
                <w:color w:val="000000"/>
                <w:sz w:val="20"/>
                <w:lang w:eastAsia="es-CO"/>
              </w:rPr>
              <w:br/>
              <w:t>- Elaboración de concepto técnico</w:t>
            </w:r>
            <w:r>
              <w:rPr>
                <w:rFonts w:ascii="Times New Roman" w:hAnsi="Times New Roman"/>
                <w:color w:val="000000"/>
                <w:sz w:val="20"/>
                <w:lang w:eastAsia="es-CO"/>
              </w:rPr>
              <w:br/>
              <w:t>- Concepto técnico acogido jurídicamente.</w:t>
            </w:r>
            <w:r>
              <w:rPr>
                <w:rFonts w:ascii="Times New Roman" w:hAnsi="Times New Roman"/>
                <w:color w:val="000000"/>
                <w:sz w:val="20"/>
                <w:lang w:eastAsia="es-CO"/>
              </w:rPr>
              <w:br/>
              <w:t>- Resolución de establecimiento o Auto de requerimiento de ajuste del documento presentado.</w:t>
            </w:r>
            <w:r>
              <w:rPr>
                <w:rFonts w:ascii="Times New Roman" w:hAnsi="Times New Roman"/>
                <w:color w:val="000000"/>
                <w:sz w:val="20"/>
                <w:lang w:eastAsia="es-CO"/>
              </w:rPr>
              <w:br/>
            </w:r>
          </w:p>
        </w:tc>
        <w:tc>
          <w:tcPr>
            <w:tcW w:w="5245" w:type="dxa"/>
            <w:gridSpan w:val="2"/>
            <w:tcBorders>
              <w:top w:val="nil"/>
              <w:left w:val="nil"/>
              <w:bottom w:val="single" w:sz="4" w:space="0" w:color="auto"/>
              <w:right w:val="single" w:sz="4" w:space="0" w:color="auto"/>
            </w:tcBorders>
            <w:vAlign w:val="center"/>
            <w:hideMark/>
          </w:tcPr>
          <w:p w14:paraId="1B31A9F1" w14:textId="77777777" w:rsidR="00AC6C47" w:rsidRDefault="00AC6C47">
            <w:pPr>
              <w:spacing w:line="256" w:lineRule="auto"/>
              <w:rPr>
                <w:rFonts w:ascii="Times New Roman" w:hAnsi="Times New Roman"/>
                <w:color w:val="000000"/>
                <w:sz w:val="20"/>
                <w:lang w:eastAsia="es-CO"/>
              </w:rPr>
            </w:pPr>
            <w:r>
              <w:rPr>
                <w:rFonts w:ascii="Times New Roman" w:hAnsi="Times New Roman"/>
                <w:b/>
                <w:bCs/>
                <w:color w:val="000000"/>
                <w:sz w:val="20"/>
                <w:lang w:eastAsia="es-CO"/>
              </w:rPr>
              <w:t>Seguimiento del instrumento ambiental establecido</w:t>
            </w:r>
            <w:r>
              <w:rPr>
                <w:rFonts w:ascii="Times New Roman" w:hAnsi="Times New Roman"/>
                <w:color w:val="000000"/>
                <w:sz w:val="20"/>
                <w:lang w:eastAsia="es-CO"/>
              </w:rPr>
              <w:br/>
              <w:t xml:space="preserve">- Presentación del informe de avance y cumplimiento. </w:t>
            </w:r>
            <w:r>
              <w:rPr>
                <w:rFonts w:ascii="Times New Roman" w:hAnsi="Times New Roman"/>
                <w:color w:val="000000"/>
                <w:sz w:val="20"/>
                <w:lang w:eastAsia="es-CO"/>
              </w:rPr>
              <w:br/>
              <w:t>- Revisión del expediente y el informe por los técnicos.</w:t>
            </w:r>
            <w:r>
              <w:rPr>
                <w:rFonts w:ascii="Times New Roman" w:hAnsi="Times New Roman"/>
                <w:color w:val="000000"/>
                <w:sz w:val="20"/>
                <w:lang w:eastAsia="es-CO"/>
              </w:rPr>
              <w:br/>
              <w:t>-Visita técnica de seguimiento</w:t>
            </w:r>
            <w:r>
              <w:rPr>
                <w:rFonts w:ascii="Times New Roman" w:hAnsi="Times New Roman"/>
                <w:color w:val="000000"/>
                <w:sz w:val="20"/>
                <w:lang w:eastAsia="es-CO"/>
              </w:rPr>
              <w:br/>
              <w:t>-Elaboración de concepto técnico</w:t>
            </w:r>
            <w:r>
              <w:rPr>
                <w:rFonts w:ascii="Times New Roman" w:hAnsi="Times New Roman"/>
                <w:color w:val="000000"/>
                <w:sz w:val="20"/>
                <w:lang w:eastAsia="es-CO"/>
              </w:rPr>
              <w:br/>
              <w:t>-Concepto técnico acogido jurídicamente.</w:t>
            </w:r>
            <w:r>
              <w:rPr>
                <w:rFonts w:ascii="Times New Roman" w:hAnsi="Times New Roman"/>
                <w:color w:val="000000"/>
                <w:sz w:val="20"/>
                <w:lang w:eastAsia="es-CO"/>
              </w:rPr>
              <w:br/>
              <w:t>-Auto de requerimiento por el servicio de pago.</w:t>
            </w:r>
            <w:r>
              <w:rPr>
                <w:rFonts w:ascii="Times New Roman" w:hAnsi="Times New Roman"/>
                <w:color w:val="000000"/>
                <w:sz w:val="20"/>
                <w:lang w:eastAsia="es-CO"/>
              </w:rPr>
              <w:br/>
              <w:t>- Si aplica. Auto de requerimiento técnico</w:t>
            </w:r>
          </w:p>
        </w:tc>
      </w:tr>
      <w:tr w:rsidR="00AC6C47" w14:paraId="1A564DBA" w14:textId="77777777" w:rsidTr="00AC6C47">
        <w:trPr>
          <w:trHeight w:val="2102"/>
          <w:jc w:val="center"/>
        </w:trPr>
        <w:tc>
          <w:tcPr>
            <w:tcW w:w="0" w:type="auto"/>
            <w:vMerge/>
            <w:tcBorders>
              <w:top w:val="nil"/>
              <w:left w:val="single" w:sz="4" w:space="0" w:color="auto"/>
              <w:bottom w:val="single" w:sz="4" w:space="0" w:color="auto"/>
              <w:right w:val="single" w:sz="4" w:space="0" w:color="auto"/>
            </w:tcBorders>
            <w:vAlign w:val="center"/>
            <w:hideMark/>
          </w:tcPr>
          <w:p w14:paraId="56B1EF48"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0335807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de control al 100% de los predios afectados por la actividad extractiva de minerales que no cuentan con instrumentos ambientales y aquellos predios con solicitudes, en el marco de trámites de instrumentos de desarrollo urbanístico o de protección ambiental en el perímetro urbano del D.C. incluyendo la actualización topográfica.</w:t>
            </w:r>
          </w:p>
        </w:tc>
        <w:tc>
          <w:tcPr>
            <w:tcW w:w="3544" w:type="dxa"/>
            <w:tcBorders>
              <w:top w:val="nil"/>
              <w:left w:val="nil"/>
              <w:bottom w:val="single" w:sz="4" w:space="0" w:color="auto"/>
              <w:right w:val="single" w:sz="4" w:space="0" w:color="auto"/>
            </w:tcBorders>
            <w:vAlign w:val="center"/>
            <w:hideMark/>
          </w:tcPr>
          <w:p w14:paraId="368D1604"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Control a predios</w:t>
            </w:r>
          </w:p>
          <w:p w14:paraId="5D925C5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Elaborar el programa de visitas técnicas de control ambiental</w:t>
            </w:r>
            <w:r>
              <w:rPr>
                <w:rFonts w:ascii="Times New Roman" w:hAnsi="Times New Roman"/>
                <w:color w:val="000000"/>
                <w:sz w:val="20"/>
                <w:lang w:eastAsia="es-CO"/>
              </w:rPr>
              <w:br/>
              <w:t>- Solicitud de expediente por el técnico</w:t>
            </w:r>
            <w:r>
              <w:rPr>
                <w:rFonts w:ascii="Times New Roman" w:hAnsi="Times New Roman"/>
                <w:color w:val="000000"/>
                <w:sz w:val="20"/>
                <w:lang w:eastAsia="es-CO"/>
              </w:rPr>
              <w:br/>
              <w:t>- Visita técnica de verificación de cumplimiento del acto administrativo de suspensión de las actividades de extracción, beneficio y transformación de minerales.</w:t>
            </w:r>
            <w:r>
              <w:rPr>
                <w:rFonts w:ascii="Times New Roman" w:hAnsi="Times New Roman"/>
                <w:color w:val="000000"/>
                <w:sz w:val="20"/>
                <w:lang w:eastAsia="es-CO"/>
              </w:rPr>
              <w:br/>
              <w:t>- Visita técnica de actualización topográfica del área afectada por la antigua actividad extractiva de minerales,</w:t>
            </w:r>
            <w:r>
              <w:rPr>
                <w:rFonts w:ascii="Times New Roman" w:hAnsi="Times New Roman"/>
                <w:color w:val="000000"/>
                <w:sz w:val="20"/>
                <w:lang w:eastAsia="es-CO"/>
              </w:rPr>
              <w:br/>
              <w:t>- Elaborar el concepto técnico.</w:t>
            </w:r>
            <w:r>
              <w:rPr>
                <w:rFonts w:ascii="Times New Roman" w:hAnsi="Times New Roman"/>
                <w:color w:val="000000"/>
                <w:sz w:val="20"/>
                <w:lang w:eastAsia="es-CO"/>
              </w:rPr>
              <w:br/>
              <w:t>- Si aplica. Inicio de proceso sancionatorio o requerimiento de presentar el instrumento ambiental.</w:t>
            </w:r>
          </w:p>
        </w:tc>
        <w:tc>
          <w:tcPr>
            <w:tcW w:w="5245" w:type="dxa"/>
            <w:gridSpan w:val="2"/>
            <w:tcBorders>
              <w:top w:val="nil"/>
              <w:left w:val="nil"/>
              <w:bottom w:val="single" w:sz="4" w:space="0" w:color="auto"/>
              <w:right w:val="single" w:sz="4" w:space="0" w:color="auto"/>
            </w:tcBorders>
            <w:vAlign w:val="center"/>
            <w:hideMark/>
          </w:tcPr>
          <w:p w14:paraId="52EC5722"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Solicitudes de verificación para tramites de desarrollo urbanístico</w:t>
            </w:r>
          </w:p>
          <w:p w14:paraId="4FD786AC"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 Radicado de la solicitud del predio identificado con chip catastral o matrícula inmobiliaria</w:t>
            </w:r>
            <w:r>
              <w:rPr>
                <w:rFonts w:ascii="Times New Roman" w:hAnsi="Times New Roman"/>
                <w:color w:val="000000"/>
                <w:sz w:val="20"/>
                <w:lang w:eastAsia="es-CO"/>
              </w:rPr>
              <w:br/>
              <w:t>- Verificación técnica del predio en el inventario de los predios afectados por actividad extractiva de minerales de la SRHS – SDA.</w:t>
            </w:r>
            <w:r>
              <w:rPr>
                <w:rFonts w:ascii="Times New Roman" w:hAnsi="Times New Roman"/>
                <w:color w:val="000000"/>
                <w:sz w:val="20"/>
                <w:lang w:eastAsia="es-CO"/>
              </w:rPr>
              <w:br/>
              <w:t>- Si el predio no hace parte del inventario, se programa una visita técnica.</w:t>
            </w:r>
            <w:r>
              <w:rPr>
                <w:rFonts w:ascii="Times New Roman" w:hAnsi="Times New Roman"/>
                <w:color w:val="000000"/>
                <w:sz w:val="20"/>
                <w:lang w:eastAsia="es-CO"/>
              </w:rPr>
              <w:br/>
              <w:t>- Si el predio no tiene afectación por actividad extractiva de minerales, se le comunica al peticionario por medio de un oficio el estado ambiental del predio.</w:t>
            </w:r>
            <w:r>
              <w:rPr>
                <w:rFonts w:ascii="Times New Roman" w:hAnsi="Times New Roman"/>
                <w:color w:val="000000"/>
                <w:sz w:val="20"/>
                <w:lang w:eastAsia="es-CO"/>
              </w:rPr>
              <w:br/>
              <w:t>- Si el predio tiene afectación por actividad extractiva de minerales, se proyecta un concepto técnico, se le apertura expediente, se solicita al peticionario por medio de un auto la presentación del PMRRA o PRR, anexándole los términos de referencia para su elaboración y se le concede los términos de ley para su presentación.</w:t>
            </w:r>
          </w:p>
        </w:tc>
      </w:tr>
      <w:tr w:rsidR="00AC6C47" w14:paraId="6129CA60" w14:textId="77777777" w:rsidTr="00AC6C47">
        <w:trPr>
          <w:trHeight w:val="3772"/>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BF098D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215 actividades de evaluación, control y seguimiento como mínimo, a predios identificados como sitios potencialmente contaminados, sitios contaminados o con pasivos ambientales en el Distrito Capital.</w:t>
            </w:r>
          </w:p>
        </w:tc>
        <w:tc>
          <w:tcPr>
            <w:tcW w:w="2551" w:type="dxa"/>
            <w:tcBorders>
              <w:top w:val="nil"/>
              <w:left w:val="nil"/>
              <w:bottom w:val="single" w:sz="4" w:space="0" w:color="auto"/>
              <w:right w:val="single" w:sz="4" w:space="0" w:color="auto"/>
            </w:tcBorders>
            <w:vAlign w:val="center"/>
            <w:hideMark/>
          </w:tcPr>
          <w:p w14:paraId="582503EA" w14:textId="77777777" w:rsidR="00AC6C47" w:rsidRDefault="00AC6C47">
            <w:pPr>
              <w:spacing w:after="240"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Atender el 100% de las solicitudes de control ambiental a predios enmarcadas en trámites de instrumentos de desarrollo urbanístico o en atención de quejas o denuncias por afectación de los recursos suelo y aguas subterráneas del acuífero somero. </w:t>
            </w:r>
          </w:p>
        </w:tc>
        <w:tc>
          <w:tcPr>
            <w:tcW w:w="8789" w:type="dxa"/>
            <w:gridSpan w:val="3"/>
            <w:tcBorders>
              <w:top w:val="nil"/>
              <w:left w:val="nil"/>
              <w:bottom w:val="single" w:sz="4" w:space="0" w:color="auto"/>
              <w:right w:val="single" w:sz="4" w:space="0" w:color="auto"/>
            </w:tcBorders>
            <w:vAlign w:val="center"/>
            <w:hideMark/>
          </w:tcPr>
          <w:p w14:paraId="1F1419A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Desarrollo de diligencia técnica de reconocimiento, revisión de antecedentes ambientales del predio objeto de solicitud, análisis de tenencia histórica, usos actuales y futuros del suelo, esto con la finalidad de identificar si existen argumentos para clasificarlo como sitio potencialmente contaminado y en consecuencia requiere una investigación preliminar de los recursos suelo y agua subterránea del acuífero somero o el establecimiento de lineamientos técnicos para un adecuado desmantelamiento de sus instalaciones, lo anterior, a través de la elaboración de concepto técnico y de las actuaciones administrativas que se consideren necesarias. Estas solicitudes involucran: </w:t>
            </w:r>
            <w:r>
              <w:rPr>
                <w:rFonts w:ascii="Times New Roman" w:hAnsi="Times New Roman"/>
                <w:color w:val="000000"/>
                <w:sz w:val="20"/>
                <w:lang w:eastAsia="es-CO"/>
              </w:rPr>
              <w:br/>
              <w:t>• Quejas o denuncias en relacionadas con posible afectación negativa de los recursos suelo y aguas subterránea del acuífero somero de la comunidad allegadas por  entes de control, entidades distritales, otras dependencias de la Secretaría.</w:t>
            </w:r>
            <w:r>
              <w:rPr>
                <w:rFonts w:ascii="Times New Roman" w:hAnsi="Times New Roman"/>
                <w:color w:val="000000"/>
                <w:sz w:val="20"/>
                <w:lang w:eastAsia="es-CO"/>
              </w:rPr>
              <w:br/>
              <w:t>• Instrumentos de desarrollo urbanístico de índole distrital asociados principalmente a cambio de uso del suelo y determinantes ambientales, las pueden ser remitidas por la Subdirección de Ecourbanismo y Gestión Ambiental Empresarial – SEGAE, o radicadas directamente por los propietarios de los predios  o los desarrolladores de proyectos.</w:t>
            </w:r>
          </w:p>
        </w:tc>
      </w:tr>
      <w:tr w:rsidR="00AC6C47" w14:paraId="1DC22326" w14:textId="77777777" w:rsidTr="00AC6C47">
        <w:trPr>
          <w:trHeight w:val="3347"/>
          <w:jc w:val="center"/>
        </w:trPr>
        <w:tc>
          <w:tcPr>
            <w:tcW w:w="0" w:type="auto"/>
            <w:vMerge/>
            <w:tcBorders>
              <w:top w:val="nil"/>
              <w:left w:val="single" w:sz="4" w:space="0" w:color="auto"/>
              <w:bottom w:val="single" w:sz="4" w:space="0" w:color="auto"/>
              <w:right w:val="single" w:sz="4" w:space="0" w:color="auto"/>
            </w:tcBorders>
            <w:vAlign w:val="center"/>
            <w:hideMark/>
          </w:tcPr>
          <w:p w14:paraId="1B45BE7C"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5DA96D5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Desarrollar acciones de evaluación y seguimiento ambiental al 100% de los predios identificados como sitios potencialmente contaminados, sitios contaminados, pasivos ambientales e instalaciones en desmantelamiento requeridas por la autoridad ambiental</w:t>
            </w:r>
          </w:p>
        </w:tc>
        <w:tc>
          <w:tcPr>
            <w:tcW w:w="8789" w:type="dxa"/>
            <w:gridSpan w:val="3"/>
            <w:tcBorders>
              <w:top w:val="nil"/>
              <w:left w:val="nil"/>
              <w:bottom w:val="single" w:sz="4" w:space="0" w:color="auto"/>
              <w:right w:val="single" w:sz="4" w:space="0" w:color="auto"/>
            </w:tcBorders>
            <w:vAlign w:val="center"/>
            <w:hideMark/>
          </w:tcPr>
          <w:p w14:paraId="47D3A73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Un vez se han identificado los predios como sitios potencialmente contaminados, sitios contaminados, pasivos ambientales o se han establecido lineamientos técnicos para el adecuado desmantelamiento de las instalaciones, continúan las acciones de gestión asociadas a cada una de las etapas, estableciendo lineamientos técnicos para el desarrollo de la investigación preliminar,  detallada, análisis de riesgo,  implementación de alternativas de remediación, monitoreo y post monitoreo, cierre de caso y  verificación del desmantelamiento adecuado de las instalaciones industriales y de servicios donde se desarrollaron las actividades potencialmente contaminantes. Lo anterior, implica que para el adecuado cumplimiento de las funciones propias de la autoridad ambiental es necesario realizar varias visitas y acompañamientos, emitir diversos conceptos técnicos y actos administrativos sobre un mismo predio, lo que implicara que se emitan más de una acción durante el cuatrienio en relación con un mismo predio. </w:t>
            </w:r>
          </w:p>
        </w:tc>
      </w:tr>
      <w:tr w:rsidR="00AC6C47" w14:paraId="17600904" w14:textId="77777777" w:rsidTr="00AC6C47">
        <w:trPr>
          <w:trHeight w:val="3347"/>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BCB378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lastRenderedPageBreak/>
              <w:t>Atender 100% de los conceptos técnicos que recomiendan actuaciones administrativas sancionatorias durante la vigencia para mejorar la eficiencia del proceso sancionatorio ambiental</w:t>
            </w:r>
          </w:p>
        </w:tc>
        <w:tc>
          <w:tcPr>
            <w:tcW w:w="2551" w:type="dxa"/>
            <w:tcBorders>
              <w:top w:val="single" w:sz="4" w:space="0" w:color="auto"/>
              <w:left w:val="nil"/>
              <w:bottom w:val="single" w:sz="4" w:space="0" w:color="auto"/>
              <w:right w:val="single" w:sz="4" w:space="0" w:color="auto"/>
            </w:tcBorders>
            <w:vAlign w:val="center"/>
            <w:hideMark/>
          </w:tcPr>
          <w:p w14:paraId="7E1F18C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t>Atender 100% de los conceptos técnicos que recomiendan actuaciones administrativas sancionatorias durante la vigencia para mejorar la eficiencia del proceso sancionatorio ambiental</w:t>
            </w:r>
          </w:p>
        </w:tc>
        <w:tc>
          <w:tcPr>
            <w:tcW w:w="4253" w:type="dxa"/>
            <w:gridSpan w:val="2"/>
            <w:tcBorders>
              <w:top w:val="single" w:sz="4" w:space="0" w:color="auto"/>
              <w:left w:val="nil"/>
              <w:bottom w:val="single" w:sz="4" w:space="0" w:color="auto"/>
              <w:right w:val="single" w:sz="4" w:space="0" w:color="auto"/>
            </w:tcBorders>
            <w:vAlign w:val="center"/>
            <w:hideMark/>
          </w:tcPr>
          <w:p w14:paraId="0A05799C" w14:textId="77777777" w:rsidR="00AC6C47" w:rsidRDefault="00AC6C47">
            <w:pPr>
              <w:spacing w:line="256" w:lineRule="auto"/>
              <w:rPr>
                <w:rFonts w:ascii="Times New Roman" w:hAnsi="Times New Roman"/>
                <w:kern w:val="32"/>
                <w:sz w:val="20"/>
              </w:rPr>
            </w:pPr>
            <w:r>
              <w:rPr>
                <w:rFonts w:ascii="Times New Roman" w:hAnsi="Times New Roman"/>
                <w:kern w:val="32"/>
                <w:sz w:val="20"/>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F1712E4"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Inicio sancionatorio</w:t>
            </w:r>
          </w:p>
          <w:p w14:paraId="033C77AB"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Formulación de cargos</w:t>
            </w:r>
          </w:p>
          <w:p w14:paraId="41C78F7F"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Practica de pruebas</w:t>
            </w:r>
          </w:p>
          <w:p w14:paraId="1FD8D3B5"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Indagación preliminar</w:t>
            </w:r>
          </w:p>
          <w:p w14:paraId="5C3E85B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 xml:space="preserve">Imposición de medida preventiva. </w:t>
            </w:r>
          </w:p>
          <w:p w14:paraId="659BC75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Legalización de medida preventiva</w:t>
            </w:r>
          </w:p>
          <w:p w14:paraId="243A5D79"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Levantamiento de medida preventiva.</w:t>
            </w:r>
          </w:p>
          <w:p w14:paraId="6E20A5C6" w14:textId="77777777" w:rsidR="00AC6C47" w:rsidRDefault="00AC6C47">
            <w:pPr>
              <w:spacing w:line="256" w:lineRule="auto"/>
              <w:rPr>
                <w:rFonts w:ascii="Times New Roman" w:hAnsi="Times New Roman"/>
                <w:kern w:val="32"/>
                <w:sz w:val="20"/>
              </w:rPr>
            </w:pPr>
            <w:r>
              <w:rPr>
                <w:rFonts w:ascii="Times New Roman" w:hAnsi="Times New Roman"/>
                <w:kern w:val="32"/>
                <w:sz w:val="20"/>
              </w:rPr>
              <w:t>Adicionalmente y como apoyo técnico y administrativo al grupo se deben contemplar las siguientes actividades:</w:t>
            </w:r>
          </w:p>
          <w:p w14:paraId="75848D52"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Tasación de Multas</w:t>
            </w:r>
          </w:p>
          <w:p w14:paraId="792E6E4F"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Manejo de Expedientes</w:t>
            </w:r>
          </w:p>
          <w:p w14:paraId="054ABFB8"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Notificaciones y ejecutorias.</w:t>
            </w:r>
          </w:p>
          <w:p w14:paraId="1FA9A26E"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Equipo administrativo de planeación.</w:t>
            </w:r>
          </w:p>
        </w:tc>
        <w:tc>
          <w:tcPr>
            <w:tcW w:w="4536" w:type="dxa"/>
            <w:tcBorders>
              <w:top w:val="single" w:sz="4" w:space="0" w:color="auto"/>
              <w:left w:val="nil"/>
              <w:bottom w:val="single" w:sz="4" w:space="0" w:color="auto"/>
              <w:right w:val="single" w:sz="4" w:space="0" w:color="auto"/>
            </w:tcBorders>
            <w:vAlign w:val="center"/>
          </w:tcPr>
          <w:p w14:paraId="49C90C5C" w14:textId="77777777" w:rsidR="00AC6C47" w:rsidRDefault="00AC6C47">
            <w:pPr>
              <w:spacing w:line="256" w:lineRule="auto"/>
              <w:rPr>
                <w:rFonts w:ascii="Times New Roman" w:hAnsi="Times New Roman"/>
                <w:kern w:val="32"/>
                <w:sz w:val="20"/>
              </w:rPr>
            </w:pPr>
            <w:r>
              <w:rPr>
                <w:rFonts w:ascii="Times New Roman" w:hAnsi="Times New Roman"/>
                <w:kern w:val="32"/>
                <w:sz w:val="20"/>
              </w:rPr>
              <w:t>También se deben considerar las siguientes actividades relacionadas con la verificación de instancias de oponibilidad o temporalidad en el trámite:</w:t>
            </w:r>
          </w:p>
          <w:p w14:paraId="40EBFA51"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Caducidad</w:t>
            </w:r>
          </w:p>
          <w:p w14:paraId="37EEC78C"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Cesación</w:t>
            </w:r>
          </w:p>
          <w:p w14:paraId="5E6A22B2"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 xml:space="preserve">Resuelve proceso sancionatorio </w:t>
            </w:r>
          </w:p>
          <w:p w14:paraId="28C1E287"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Resuelve recurso</w:t>
            </w:r>
          </w:p>
          <w:p w14:paraId="311C230B"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Declaran la pérdida de fuerza ejecutoria</w:t>
            </w:r>
          </w:p>
          <w:p w14:paraId="1F793A36"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Ordenan el archivo de un proceso sancionatorio ambiental.</w:t>
            </w:r>
          </w:p>
          <w:p w14:paraId="08BADB99"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p>
          <w:p w14:paraId="038735FB" w14:textId="77777777" w:rsidR="00AC6C47" w:rsidRDefault="00AC6C47">
            <w:pPr>
              <w:spacing w:line="256" w:lineRule="auto"/>
              <w:rPr>
                <w:rFonts w:ascii="Times New Roman" w:hAnsi="Times New Roman"/>
                <w:kern w:val="32"/>
                <w:sz w:val="20"/>
              </w:rPr>
            </w:pPr>
            <w:r>
              <w:rPr>
                <w:rFonts w:ascii="Times New Roman" w:hAnsi="Times New Roman"/>
                <w:kern w:val="32"/>
                <w:sz w:val="20"/>
              </w:rPr>
              <w:t>Se deberá contemplar de igual manera la coordinación institucional del Sistema Unificado Distrital de Inspección, Vigilancia y Control – IVC, reglamentado en el Decreto 483/2007 y coordinado a nivel distrital por la Secretaría General y la Alcaldía Mayor.</w:t>
            </w:r>
          </w:p>
          <w:p w14:paraId="752E96E7" w14:textId="77777777" w:rsidR="00AC6C47" w:rsidRDefault="00AC6C47">
            <w:pPr>
              <w:spacing w:line="256" w:lineRule="auto"/>
              <w:rPr>
                <w:rFonts w:ascii="Times New Roman" w:hAnsi="Times New Roman"/>
                <w:color w:val="000000"/>
                <w:sz w:val="20"/>
                <w:lang w:eastAsia="es-CO"/>
              </w:rPr>
            </w:pPr>
          </w:p>
        </w:tc>
      </w:tr>
      <w:tr w:rsidR="00AC6C47" w14:paraId="39AAEC18" w14:textId="77777777" w:rsidTr="00AC6C47">
        <w:trPr>
          <w:trHeight w:val="2813"/>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A46A3E9"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el 100% de un modelo conceptual de captura de información sobre características del suelo en sitios con afectación (potencial y configurada) al suelo y/o agua subterránea del acuífero somero.</w:t>
            </w:r>
          </w:p>
        </w:tc>
        <w:tc>
          <w:tcPr>
            <w:tcW w:w="2551" w:type="dxa"/>
            <w:tcBorders>
              <w:top w:val="single" w:sz="4" w:space="0" w:color="auto"/>
              <w:left w:val="nil"/>
              <w:bottom w:val="single" w:sz="4" w:space="0" w:color="auto"/>
              <w:right w:val="single" w:sz="4" w:space="0" w:color="auto"/>
            </w:tcBorders>
            <w:vAlign w:val="center"/>
            <w:hideMark/>
          </w:tcPr>
          <w:p w14:paraId="630B0A18"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un modelo conceptual de captura de información sobre características del suelo en sitios con afectación (potencial y configurada) al suelo y/o agua subterránea del acuífero somero</w:t>
            </w:r>
          </w:p>
        </w:tc>
        <w:tc>
          <w:tcPr>
            <w:tcW w:w="8789" w:type="dxa"/>
            <w:gridSpan w:val="3"/>
            <w:tcBorders>
              <w:top w:val="single" w:sz="4" w:space="0" w:color="auto"/>
              <w:left w:val="nil"/>
              <w:bottom w:val="single" w:sz="4" w:space="0" w:color="auto"/>
              <w:right w:val="single" w:sz="4" w:space="0" w:color="auto"/>
            </w:tcBorders>
            <w:vAlign w:val="center"/>
            <w:hideMark/>
          </w:tcPr>
          <w:p w14:paraId="398F1C8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Para el desarrollo del modelo conceptual para captura de información se debe realizar una planeación adecuada que se describe a continuación:</w:t>
            </w:r>
          </w:p>
          <w:p w14:paraId="424535E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actores intervinientes y generación de convenios necesarios para el desarrollo del modelo.</w:t>
            </w:r>
          </w:p>
          <w:p w14:paraId="74321C8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captura de información y definición de necesidades de variables.</w:t>
            </w:r>
          </w:p>
          <w:p w14:paraId="417E8FE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-Verificación de los datos primarios disponibles y de la metodología para la obtención de datos secundarios</w:t>
            </w:r>
          </w:p>
          <w:p w14:paraId="2F62CDB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-Discusión de las estrategias de levantamiento de información en las actividades de evaluación control y seguimiento ambiental.</w:t>
            </w:r>
          </w:p>
          <w:p w14:paraId="7C7A753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-Montaje de la base de dato con información específica de los predios y programación de la verificación de interrelaciona miento de variables.</w:t>
            </w:r>
          </w:p>
          <w:p w14:paraId="00EF9E5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-Implementación de la herramienta.</w:t>
            </w:r>
          </w:p>
          <w:p w14:paraId="039B387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-Evaluación y Seguimiento de la herramienta.</w:t>
            </w:r>
          </w:p>
          <w:p w14:paraId="74D20F8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-Enlace con los sistemas de información ambiental de la Entidad</w:t>
            </w:r>
          </w:p>
        </w:tc>
      </w:tr>
    </w:tbl>
    <w:p w14:paraId="6D302FE7" w14:textId="77777777" w:rsidR="00AC6C47" w:rsidRDefault="00AC6C47" w:rsidP="00AC6C47">
      <w:pPr>
        <w:pStyle w:val="Prrafodelista"/>
        <w:ind w:left="720"/>
        <w:contextualSpacing/>
        <w:jc w:val="center"/>
        <w:rPr>
          <w:rFonts w:ascii="Times New Roman" w:hAnsi="Times New Roman"/>
          <w:b/>
          <w:bCs/>
          <w:szCs w:val="24"/>
          <w:lang w:eastAsia="es-CO"/>
        </w:rPr>
      </w:pPr>
      <w:r>
        <w:rPr>
          <w:rFonts w:ascii="Times New Roman" w:hAnsi="Times New Roman"/>
          <w:sz w:val="22"/>
          <w:szCs w:val="22"/>
          <w:lang w:eastAsia="es-CO"/>
        </w:rPr>
        <w:t>Fuente: SDA 2020</w:t>
      </w:r>
    </w:p>
    <w:p w14:paraId="6CAAB34A" w14:textId="77777777" w:rsidR="00AC6C47" w:rsidRDefault="00AC6C47" w:rsidP="00AC6C47">
      <w:pPr>
        <w:jc w:val="left"/>
        <w:rPr>
          <w:rFonts w:ascii="Times New Roman" w:hAnsi="Times New Roman"/>
          <w:b/>
          <w:bCs/>
          <w:szCs w:val="24"/>
          <w:lang w:eastAsia="es-CO"/>
        </w:rPr>
        <w:sectPr w:rsidR="00AC6C47" w:rsidSect="00AC6C47">
          <w:pgSz w:w="15840" w:h="12240" w:orient="landscape"/>
          <w:pgMar w:top="1701" w:right="814" w:bottom="1276" w:left="992" w:header="709" w:footer="709" w:gutter="0"/>
          <w:cols w:space="720"/>
        </w:sectPr>
      </w:pPr>
    </w:p>
    <w:p w14:paraId="1A963053" w14:textId="0684034D" w:rsidR="00F550E3" w:rsidRPr="009E019D"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32"/>
          <w:szCs w:val="22"/>
        </w:rPr>
      </w:pPr>
      <w:hyperlink r:id="rId21">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270B7B5B" w14:textId="77777777" w:rsidR="00AC6C47" w:rsidRDefault="00AC6C47" w:rsidP="00AC6C47">
      <w:pPr>
        <w:rPr>
          <w:rFonts w:ascii="Times New Roman" w:hAnsi="Times New Roman"/>
          <w:i/>
          <w:iCs/>
          <w:szCs w:val="24"/>
          <w:lang w:eastAsia="es-CO"/>
        </w:rPr>
      </w:pPr>
      <w:r>
        <w:rPr>
          <w:rFonts w:ascii="Times New Roman" w:hAnsi="Times New Roman"/>
          <w:bCs/>
          <w:szCs w:val="24"/>
          <w:lang w:eastAsia="es-CO"/>
        </w:rPr>
        <w:t xml:space="preserve">De acuerdo al problema central planteado, </w:t>
      </w:r>
      <w:r>
        <w:rPr>
          <w:rFonts w:ascii="Times New Roman" w:hAnsi="Times New Roman"/>
          <w:bCs/>
          <w:i/>
          <w:iCs/>
          <w:szCs w:val="24"/>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i/>
          <w:iCs/>
          <w:szCs w:val="24"/>
          <w:lang w:eastAsia="es-CO"/>
        </w:rPr>
        <w:t xml:space="preserve">.”, </w:t>
      </w:r>
      <w:r>
        <w:rPr>
          <w:rFonts w:ascii="Times New Roman" w:hAnsi="Times New Roman"/>
          <w:szCs w:val="24"/>
          <w:lang w:eastAsia="es-CO"/>
        </w:rPr>
        <w:t>se realizó la verificación de los antecedentes y las posibles causas del problema, finalmente luego de realizar un análisis de causas, participantes y  población afectada, se planteó un objetivo central de proyecto que es,</w:t>
      </w:r>
      <w:r>
        <w:rPr>
          <w:rFonts w:ascii="Times New Roman" w:hAnsi="Times New Roman"/>
          <w:i/>
          <w:iCs/>
          <w:szCs w:val="24"/>
          <w:lang w:eastAsia="es-CO"/>
        </w:rPr>
        <w:t xml:space="preserve"> “Fomentar las acciones de evaluación control y seguimiento en predios que desarrollan actividades industriales, de servicios y con antecedentes de extracción de minerales diagnosticando las condiciones del suelo y el acuífero somero.”.  </w:t>
      </w:r>
    </w:p>
    <w:p w14:paraId="7E881CC2" w14:textId="77777777" w:rsidR="00AC6C47" w:rsidRDefault="00AC6C47" w:rsidP="00AC6C47">
      <w:pPr>
        <w:ind w:left="696"/>
        <w:rPr>
          <w:rFonts w:ascii="Times New Roman" w:hAnsi="Times New Roman"/>
          <w:i/>
          <w:iCs/>
          <w:szCs w:val="24"/>
          <w:lang w:eastAsia="es-CO"/>
        </w:rPr>
      </w:pPr>
    </w:p>
    <w:p w14:paraId="46C4425A" w14:textId="77777777" w:rsidR="00AC6C47" w:rsidRDefault="00AC6C47" w:rsidP="00AC6C47">
      <w:pPr>
        <w:rPr>
          <w:rFonts w:ascii="Times New Roman" w:hAnsi="Times New Roman"/>
          <w:b/>
          <w:bCs/>
          <w:i/>
          <w:szCs w:val="24"/>
          <w:lang w:eastAsia="es-CO"/>
        </w:rPr>
      </w:pPr>
      <w:r>
        <w:rPr>
          <w:rFonts w:ascii="Times New Roman" w:hAnsi="Times New Roman"/>
          <w:szCs w:val="24"/>
          <w:lang w:eastAsia="es-CO"/>
        </w:rPr>
        <w:t xml:space="preserve">Para plantear una alternativa adecuada se verificaron los objetivos específicos del proyecto atendiendo en su medida a las causas del problema y las competencias de la Entidad, de manera que se encauso la alternativa de solución acorde a la meta de plan de desarrollo planteada. Por lo anterior la alternativa a desarrollar se definió como - </w:t>
      </w: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4C205CAD" w14:textId="77777777" w:rsidR="00AC6C47" w:rsidRDefault="00AC6C47" w:rsidP="00AC6C47">
      <w:pPr>
        <w:rPr>
          <w:rFonts w:ascii="Times New Roman" w:hAnsi="Times New Roman"/>
          <w:bCs/>
          <w:iCs/>
          <w:szCs w:val="24"/>
          <w:lang w:eastAsia="es-CO"/>
        </w:rPr>
      </w:pPr>
      <w:r>
        <w:rPr>
          <w:rFonts w:ascii="Times New Roman" w:hAnsi="Times New Roman"/>
          <w:bCs/>
          <w:iCs/>
          <w:szCs w:val="24"/>
          <w:lang w:eastAsia="es-CO"/>
        </w:rPr>
        <w:t>De acuerdo con el análisis realizado en los objetivos específicos del árbol de objetivos Figura 5, se estableció como producto principal de proyecto el “Inventario de predios con suelos degradados, sitios contaminados y pasivos ambientales.” Y como producto secundario como resultado del primero el “Modelo conceptual de captura de información sobre características del suelo en sitios con afectación (potencial y configurada) al suelo y/o agua subterránea del acuífero somero.” Para determinar las necesidades de estos productos se realizó un análisis de oferta y demanda durante los últimos 4 años de la siguiente manera:</w:t>
      </w:r>
    </w:p>
    <w:p w14:paraId="10902474" w14:textId="77777777" w:rsidR="00AC6C47" w:rsidRDefault="00AC6C47" w:rsidP="00AC6C47">
      <w:pPr>
        <w:rPr>
          <w:rFonts w:ascii="Times New Roman" w:hAnsi="Times New Roman"/>
          <w:bCs/>
          <w:iCs/>
          <w:szCs w:val="24"/>
          <w:lang w:eastAsia="es-CO"/>
        </w:rPr>
      </w:pPr>
    </w:p>
    <w:p w14:paraId="04D3342F" w14:textId="44042191" w:rsidR="00AC6C47" w:rsidRDefault="00AC6C47" w:rsidP="00AC6C47">
      <w:pPr>
        <w:jc w:val="center"/>
        <w:rPr>
          <w:rFonts w:ascii="Times New Roman" w:hAnsi="Times New Roman"/>
          <w:sz w:val="22"/>
          <w:szCs w:val="22"/>
        </w:rPr>
      </w:pPr>
      <w:r>
        <w:rPr>
          <w:rFonts w:ascii="Times New Roman" w:hAnsi="Times New Roman"/>
          <w:sz w:val="22"/>
          <w:szCs w:val="22"/>
        </w:rPr>
        <w:t xml:space="preserve">Tabla 12. Estudio de oferta y demanda del producto principal.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981597" w14:paraId="50C1088C"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C659991"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BIEN O SERVICIO A ENTREGAR O DEMANDA A SATISFACER NO. 1</w:t>
            </w:r>
          </w:p>
        </w:tc>
      </w:tr>
      <w:tr w:rsidR="00981597" w:rsidRPr="00981597" w14:paraId="5D9A999F"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71B788" w14:textId="77777777" w:rsidR="00981597" w:rsidRPr="00981597" w:rsidRDefault="00981597" w:rsidP="00AC41A9">
            <w:pPr>
              <w:jc w:val="center"/>
              <w:rPr>
                <w:rFonts w:ascii="Times New Roman" w:eastAsia="Calibri" w:hAnsi="Times New Roman"/>
                <w:b/>
                <w:sz w:val="22"/>
                <w:szCs w:val="22"/>
              </w:rPr>
            </w:pPr>
            <w:r w:rsidRPr="00981597">
              <w:rPr>
                <w:rFonts w:ascii="Times New Roman" w:hAnsi="Times New Roman"/>
                <w:b/>
                <w:bCs/>
                <w:color w:val="000000"/>
                <w:sz w:val="22"/>
                <w:szCs w:val="22"/>
                <w:lang w:eastAsia="es-CO"/>
              </w:rPr>
              <w:t>Inventario de predios con suelos degradados, sitios contaminados y pasivos ambientales.</w:t>
            </w:r>
          </w:p>
        </w:tc>
      </w:tr>
      <w:tr w:rsidR="00981597" w:rsidRPr="00981597" w14:paraId="46A15560"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F0451F7" w14:textId="77777777" w:rsidR="00981597" w:rsidRPr="00981597" w:rsidRDefault="00981597" w:rsidP="00AC41A9">
            <w:pPr>
              <w:jc w:val="center"/>
              <w:rPr>
                <w:rFonts w:ascii="Times New Roman" w:eastAsia="Calibri" w:hAnsi="Times New Roman"/>
                <w:b/>
                <w:sz w:val="22"/>
                <w:szCs w:val="22"/>
              </w:rPr>
            </w:pPr>
            <w:r w:rsidRPr="00981597">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3C9251B" w14:textId="77777777" w:rsidR="00981597" w:rsidRPr="00981597" w:rsidRDefault="00981597" w:rsidP="00AC41A9">
            <w:pPr>
              <w:jc w:val="center"/>
              <w:rPr>
                <w:rFonts w:ascii="Times New Roman" w:eastAsia="Calibri" w:hAnsi="Times New Roman"/>
                <w:sz w:val="22"/>
                <w:szCs w:val="22"/>
              </w:rPr>
            </w:pPr>
            <w:r w:rsidRPr="00981597">
              <w:rPr>
                <w:rFonts w:ascii="Times New Roman" w:eastAsia="Calibri" w:hAnsi="Times New Roman"/>
                <w:sz w:val="22"/>
                <w:szCs w:val="22"/>
              </w:rPr>
              <w:t>Número de Predios</w:t>
            </w:r>
          </w:p>
        </w:tc>
      </w:tr>
      <w:tr w:rsidR="00981597" w:rsidRPr="00981597" w14:paraId="3DC64965" w14:textId="77777777" w:rsidTr="00981597">
        <w:trPr>
          <w:trHeight w:val="6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655122D" w14:textId="77777777" w:rsidR="00981597" w:rsidRPr="00981597" w:rsidRDefault="00981597" w:rsidP="00AC41A9">
            <w:pPr>
              <w:jc w:val="left"/>
              <w:rPr>
                <w:rFonts w:ascii="Times New Roman" w:eastAsia="Calibri" w:hAnsi="Times New Roman"/>
                <w:b/>
                <w:sz w:val="22"/>
                <w:szCs w:val="22"/>
              </w:rPr>
            </w:pPr>
            <w:r w:rsidRPr="00981597">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8A71B11" w14:textId="77777777" w:rsidR="00981597" w:rsidRPr="00981597" w:rsidRDefault="00981597" w:rsidP="00AC41A9">
            <w:pPr>
              <w:rPr>
                <w:rFonts w:ascii="Times New Roman" w:eastAsia="Calibri" w:hAnsi="Times New Roman"/>
                <w:sz w:val="22"/>
                <w:szCs w:val="22"/>
              </w:rPr>
            </w:pPr>
            <w:r w:rsidRPr="00981597">
              <w:rPr>
                <w:rFonts w:ascii="Times New Roman" w:hAnsi="Times New Roman"/>
                <w:color w:val="000000"/>
                <w:sz w:val="22"/>
                <w:szCs w:val="22"/>
                <w:lang w:eastAsia="es-CO"/>
              </w:rPr>
              <w:t>Predios que desarrollaron actividades industriales, de servicio y con antecedentes de explotación minera, objeto de evaluación, control y seguimiento ambiental por parte de la entidad</w:t>
            </w:r>
          </w:p>
        </w:tc>
      </w:tr>
      <w:tr w:rsidR="00981597" w:rsidRPr="00981597" w14:paraId="7DA6ECD9"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7AFA8905"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8678324"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61F05DF"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F311759"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599B47"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DÉFICIT</w:t>
            </w:r>
          </w:p>
        </w:tc>
      </w:tr>
      <w:tr w:rsidR="00981597" w:rsidRPr="00981597" w14:paraId="3C9A2C6F"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7D93CFE" w14:textId="77777777" w:rsidR="00981597" w:rsidRPr="00981597" w:rsidRDefault="00981597" w:rsidP="00AC41A9">
            <w:pPr>
              <w:jc w:val="center"/>
              <w:rPr>
                <w:rFonts w:ascii="Times New Roman" w:eastAsia="Calibri" w:hAnsi="Times New Roman"/>
                <w:b/>
                <w:color w:val="FFFFFF" w:themeColor="background1"/>
                <w:sz w:val="22"/>
                <w:szCs w:val="22"/>
              </w:rPr>
            </w:pPr>
            <w:r w:rsidRPr="00981597">
              <w:rPr>
                <w:color w:val="FFFFFF" w:themeColor="background1"/>
                <w:sz w:val="22"/>
                <w:szCs w:val="22"/>
              </w:rPr>
              <w:t>HISTORICO*</w:t>
            </w:r>
          </w:p>
          <w:p w14:paraId="34058F00" w14:textId="77777777" w:rsidR="00981597" w:rsidRPr="00981597"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44BCBB7" w14:textId="77777777" w:rsidR="00981597" w:rsidRPr="00981597" w:rsidRDefault="00981597" w:rsidP="00AC41A9">
            <w:pPr>
              <w:jc w:val="center"/>
              <w:rPr>
                <w:rFonts w:ascii="Times New Roman" w:eastAsia="Calibri" w:hAnsi="Times New Roman"/>
                <w:i/>
                <w:sz w:val="22"/>
                <w:szCs w:val="22"/>
              </w:rPr>
            </w:pPr>
            <w:r w:rsidRPr="00981597">
              <w:rPr>
                <w:sz w:val="22"/>
                <w:szCs w:val="22"/>
              </w:rPr>
              <w:lastRenderedPageBreak/>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AD307B7" w14:textId="77777777" w:rsidR="00981597" w:rsidRPr="00981597" w:rsidRDefault="00981597" w:rsidP="00AC41A9">
            <w:pPr>
              <w:jc w:val="right"/>
              <w:rPr>
                <w:rFonts w:ascii="Times New Roman" w:eastAsia="Calibri" w:hAnsi="Times New Roman"/>
                <w:i/>
                <w:sz w:val="22"/>
                <w:szCs w:val="22"/>
              </w:rPr>
            </w:pPr>
            <w:r w:rsidRPr="00981597">
              <w:rPr>
                <w:sz w:val="22"/>
                <w:szCs w:val="22"/>
              </w:rPr>
              <w:t>65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CDBE853" w14:textId="77777777" w:rsidR="00981597" w:rsidRPr="00981597" w:rsidRDefault="00981597" w:rsidP="00AC41A9">
            <w:pPr>
              <w:jc w:val="right"/>
              <w:rPr>
                <w:rFonts w:ascii="Times New Roman" w:eastAsia="Calibri" w:hAnsi="Times New Roman"/>
                <w:i/>
                <w:sz w:val="22"/>
                <w:szCs w:val="22"/>
              </w:rPr>
            </w:pPr>
            <w:r w:rsidRPr="00981597">
              <w:rPr>
                <w:sz w:val="22"/>
                <w:szCs w:val="22"/>
              </w:rPr>
              <w:t>51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B6C80E8" w14:textId="77777777" w:rsidR="00981597" w:rsidRPr="00981597" w:rsidRDefault="00981597" w:rsidP="00AC41A9">
            <w:pPr>
              <w:jc w:val="right"/>
              <w:rPr>
                <w:rFonts w:ascii="Times New Roman" w:eastAsia="Calibri" w:hAnsi="Times New Roman"/>
                <w:i/>
                <w:sz w:val="22"/>
                <w:szCs w:val="22"/>
              </w:rPr>
            </w:pPr>
            <w:r w:rsidRPr="00981597">
              <w:rPr>
                <w:sz w:val="22"/>
                <w:szCs w:val="22"/>
              </w:rPr>
              <w:t>-14</w:t>
            </w:r>
          </w:p>
        </w:tc>
      </w:tr>
      <w:tr w:rsidR="00981597" w:rsidRPr="00981597" w14:paraId="2DF48AD8"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01A76463" w14:textId="77777777" w:rsidR="00981597" w:rsidRPr="00981597"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C2D713" w14:textId="77777777" w:rsidR="00981597" w:rsidRPr="00981597" w:rsidRDefault="00981597" w:rsidP="00AC41A9">
            <w:pPr>
              <w:jc w:val="center"/>
              <w:rPr>
                <w:rFonts w:ascii="Times New Roman" w:eastAsia="Calibri" w:hAnsi="Times New Roman"/>
                <w:i/>
                <w:sz w:val="22"/>
                <w:szCs w:val="22"/>
              </w:rPr>
            </w:pPr>
            <w:r w:rsidRPr="00981597">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C1B4B8" w14:textId="77777777" w:rsidR="00981597" w:rsidRPr="00981597" w:rsidRDefault="00981597" w:rsidP="00AC41A9">
            <w:pPr>
              <w:jc w:val="right"/>
              <w:rPr>
                <w:rFonts w:ascii="Times New Roman" w:eastAsia="Calibri" w:hAnsi="Times New Roman"/>
                <w:i/>
                <w:sz w:val="22"/>
                <w:szCs w:val="22"/>
              </w:rPr>
            </w:pPr>
            <w:r w:rsidRPr="00981597">
              <w:rPr>
                <w:sz w:val="22"/>
                <w:szCs w:val="22"/>
              </w:rPr>
              <w:t>150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3EBA64" w14:textId="77777777" w:rsidR="00981597" w:rsidRPr="00981597" w:rsidRDefault="00981597" w:rsidP="00AC41A9">
            <w:pPr>
              <w:jc w:val="right"/>
              <w:rPr>
                <w:rFonts w:ascii="Times New Roman" w:eastAsia="Calibri" w:hAnsi="Times New Roman"/>
                <w:i/>
                <w:sz w:val="22"/>
                <w:szCs w:val="22"/>
              </w:rPr>
            </w:pPr>
            <w:r w:rsidRPr="00981597">
              <w:rPr>
                <w:sz w:val="22"/>
                <w:szCs w:val="22"/>
              </w:rPr>
              <w:t>56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8171B9" w14:textId="77777777" w:rsidR="00981597" w:rsidRPr="00981597" w:rsidRDefault="00981597" w:rsidP="00AC41A9">
            <w:pPr>
              <w:jc w:val="right"/>
              <w:rPr>
                <w:rFonts w:ascii="Times New Roman" w:eastAsia="Calibri" w:hAnsi="Times New Roman"/>
                <w:i/>
                <w:sz w:val="22"/>
                <w:szCs w:val="22"/>
              </w:rPr>
            </w:pPr>
            <w:r w:rsidRPr="00981597">
              <w:rPr>
                <w:sz w:val="22"/>
                <w:szCs w:val="22"/>
              </w:rPr>
              <w:t>-94</w:t>
            </w:r>
          </w:p>
        </w:tc>
      </w:tr>
      <w:tr w:rsidR="00981597" w:rsidRPr="00981597" w14:paraId="5C1CE962"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0A1CDF5"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66EF18" w14:textId="0F002C21" w:rsidR="00981597" w:rsidRPr="00981597" w:rsidRDefault="00981597" w:rsidP="00981597">
            <w:pPr>
              <w:jc w:val="center"/>
              <w:rPr>
                <w:sz w:val="22"/>
                <w:szCs w:val="22"/>
              </w:rPr>
            </w:pPr>
            <w:r w:rsidRPr="00981597">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EF434F" w14:textId="14A996FA" w:rsidR="00981597" w:rsidRPr="00981597" w:rsidRDefault="00981597" w:rsidP="00981597">
            <w:pPr>
              <w:jc w:val="right"/>
              <w:rPr>
                <w:sz w:val="22"/>
                <w:szCs w:val="22"/>
              </w:rPr>
            </w:pPr>
            <w:r w:rsidRPr="00981597">
              <w:rPr>
                <w:sz w:val="22"/>
                <w:szCs w:val="22"/>
              </w:rPr>
              <w:t>267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F6147F" w14:textId="4911B602" w:rsidR="00981597" w:rsidRPr="00981597" w:rsidRDefault="00981597" w:rsidP="00981597">
            <w:pPr>
              <w:jc w:val="right"/>
              <w:rPr>
                <w:sz w:val="22"/>
                <w:szCs w:val="22"/>
              </w:rPr>
            </w:pPr>
            <w:r w:rsidRPr="00981597">
              <w:rPr>
                <w:sz w:val="22"/>
                <w:szCs w:val="22"/>
              </w:rPr>
              <w:t>151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D7D546E" w14:textId="4780459D" w:rsidR="00981597" w:rsidRPr="00981597" w:rsidRDefault="00981597" w:rsidP="00981597">
            <w:pPr>
              <w:jc w:val="right"/>
              <w:rPr>
                <w:sz w:val="22"/>
                <w:szCs w:val="22"/>
              </w:rPr>
            </w:pPr>
            <w:r w:rsidRPr="00981597">
              <w:rPr>
                <w:sz w:val="22"/>
                <w:szCs w:val="22"/>
              </w:rPr>
              <w:t>-116</w:t>
            </w:r>
          </w:p>
        </w:tc>
      </w:tr>
      <w:tr w:rsidR="00981597" w:rsidRPr="00981597" w14:paraId="110BFDB6" w14:textId="77777777" w:rsidTr="00981597">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97F42A2"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2C033D" w14:textId="31323A31" w:rsidR="00981597" w:rsidRPr="00981597" w:rsidRDefault="00981597" w:rsidP="00981597">
            <w:pPr>
              <w:jc w:val="center"/>
              <w:rPr>
                <w:rFonts w:ascii="Times New Roman" w:eastAsia="Calibri" w:hAnsi="Times New Roman"/>
                <w:i/>
                <w:sz w:val="22"/>
                <w:szCs w:val="22"/>
              </w:rPr>
            </w:pPr>
            <w:r w:rsidRPr="00981597">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851274" w14:textId="6B0E673E"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21B711" w14:textId="4589EC84"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78F997" w14:textId="4BA086E1" w:rsidR="00981597" w:rsidRPr="00981597" w:rsidRDefault="00981597" w:rsidP="00981597">
            <w:pPr>
              <w:jc w:val="right"/>
              <w:rPr>
                <w:rFonts w:ascii="Times New Roman" w:eastAsia="Calibri" w:hAnsi="Times New Roman"/>
                <w:i/>
                <w:sz w:val="22"/>
                <w:szCs w:val="22"/>
              </w:rPr>
            </w:pPr>
            <w:r w:rsidRPr="00981597">
              <w:rPr>
                <w:sz w:val="22"/>
                <w:szCs w:val="22"/>
              </w:rPr>
              <w:t>0</w:t>
            </w:r>
          </w:p>
        </w:tc>
      </w:tr>
      <w:tr w:rsidR="00981597" w:rsidRPr="00981597" w14:paraId="67888F90"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10D928" w14:textId="77777777" w:rsidR="00981597" w:rsidRPr="00981597" w:rsidRDefault="00981597" w:rsidP="00981597">
            <w:pPr>
              <w:jc w:val="center"/>
              <w:rPr>
                <w:rFonts w:ascii="Times New Roman" w:eastAsia="Calibri" w:hAnsi="Times New Roman"/>
                <w:b/>
                <w:color w:val="FFFFFF" w:themeColor="background1"/>
                <w:sz w:val="22"/>
                <w:szCs w:val="22"/>
              </w:rPr>
            </w:pPr>
          </w:p>
          <w:p w14:paraId="6567832F" w14:textId="77777777" w:rsidR="00981597" w:rsidRPr="00981597" w:rsidRDefault="00981597" w:rsidP="00981597">
            <w:pPr>
              <w:jc w:val="center"/>
              <w:rPr>
                <w:rFonts w:ascii="Times New Roman" w:eastAsia="Calibri" w:hAnsi="Times New Roman"/>
                <w:b/>
                <w:color w:val="FFFFFF" w:themeColor="background1"/>
                <w:sz w:val="22"/>
                <w:szCs w:val="22"/>
              </w:rPr>
            </w:pPr>
            <w:r w:rsidRPr="00981597">
              <w:rPr>
                <w:color w:val="FFFFFF" w:themeColor="background1"/>
                <w:sz w:val="22"/>
                <w:szCs w:val="22"/>
              </w:rPr>
              <w:t>PROYECTADO</w:t>
            </w:r>
          </w:p>
          <w:p w14:paraId="4F208FFE" w14:textId="77777777" w:rsidR="00981597" w:rsidRPr="00981597" w:rsidRDefault="00981597" w:rsidP="00981597">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40EF06" w14:textId="1F7F95EE" w:rsidR="00981597" w:rsidRPr="00981597" w:rsidRDefault="00981597" w:rsidP="00981597">
            <w:pPr>
              <w:jc w:val="center"/>
              <w:rPr>
                <w:rFonts w:ascii="Times New Roman" w:eastAsia="Calibri" w:hAnsi="Times New Roman"/>
                <w:i/>
                <w:sz w:val="22"/>
                <w:szCs w:val="22"/>
              </w:rPr>
            </w:pPr>
            <w:r w:rsidRPr="00981597">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1E744C" w14:textId="40841172"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606D83" w14:textId="3E7DB1F9"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5615A1" w14:textId="5B601F78"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6D489B3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7CF86B7D"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4094FE" w14:textId="5F6CAA71"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A0B469" w14:textId="217DF586"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35D559" w14:textId="6A3AE0A3"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66976" w14:textId="04F9197F"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19A11918"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C89F883"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0F7993" w14:textId="60893033" w:rsidR="00981597" w:rsidRPr="00981597" w:rsidRDefault="00981597" w:rsidP="00981597">
            <w:pPr>
              <w:jc w:val="center"/>
              <w:rPr>
                <w:sz w:val="22"/>
                <w:szCs w:val="22"/>
              </w:rPr>
            </w:pPr>
            <w:r w:rsidRPr="00981597">
              <w:rPr>
                <w:sz w:val="22"/>
                <w:szCs w:val="22"/>
              </w:rPr>
              <w:t>202</w:t>
            </w:r>
            <w:r>
              <w:rPr>
                <w:sz w:val="22"/>
                <w:szCs w:val="22"/>
              </w:rPr>
              <w:t>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B80141" w14:textId="505FE314"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14D009" w14:textId="09976131"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F7DD6A9" w14:textId="0F784FFF" w:rsidR="00981597" w:rsidRPr="00981597" w:rsidRDefault="00981597" w:rsidP="00981597">
            <w:pPr>
              <w:jc w:val="right"/>
              <w:rPr>
                <w:sz w:val="22"/>
                <w:szCs w:val="22"/>
              </w:rPr>
            </w:pPr>
            <w:r w:rsidRPr="00981597">
              <w:rPr>
                <w:sz w:val="22"/>
                <w:szCs w:val="22"/>
              </w:rPr>
              <w:t>-1000</w:t>
            </w:r>
          </w:p>
        </w:tc>
      </w:tr>
      <w:tr w:rsidR="00981597" w:rsidRPr="00981597" w14:paraId="4464EC49"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03EB2671"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2E788B" w14:textId="63753AA4" w:rsidR="00981597" w:rsidRPr="00981597" w:rsidRDefault="00981597" w:rsidP="00981597">
            <w:pPr>
              <w:jc w:val="center"/>
              <w:rPr>
                <w:sz w:val="22"/>
                <w:szCs w:val="22"/>
              </w:rPr>
            </w:pPr>
            <w:r w:rsidRPr="00981597">
              <w:rPr>
                <w:sz w:val="22"/>
                <w:szCs w:val="22"/>
              </w:rPr>
              <w:t>202</w:t>
            </w:r>
            <w:r>
              <w:rPr>
                <w:sz w:val="22"/>
                <w:szCs w:val="22"/>
              </w:rPr>
              <w:t>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D34EE0" w14:textId="76EF525B"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85D440" w14:textId="563761DF"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2C4BCE" w14:textId="25B288BF" w:rsidR="00981597" w:rsidRPr="00981597" w:rsidRDefault="00981597" w:rsidP="00981597">
            <w:pPr>
              <w:jc w:val="right"/>
              <w:rPr>
                <w:sz w:val="22"/>
                <w:szCs w:val="22"/>
              </w:rPr>
            </w:pPr>
            <w:r w:rsidRPr="00981597">
              <w:rPr>
                <w:sz w:val="22"/>
                <w:szCs w:val="22"/>
              </w:rPr>
              <w:t>-1000</w:t>
            </w:r>
          </w:p>
        </w:tc>
      </w:tr>
      <w:tr w:rsidR="00981597" w:rsidRPr="00981597" w14:paraId="125509F7"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576D5E0"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F7A242" w14:textId="732C8A96"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187413" w14:textId="77777777"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29DC4A" w14:textId="77777777"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F4BF20" w14:textId="77777777" w:rsidR="00981597" w:rsidRPr="00981597" w:rsidRDefault="00981597" w:rsidP="00981597">
            <w:pPr>
              <w:jc w:val="right"/>
              <w:rPr>
                <w:rFonts w:ascii="Times New Roman" w:eastAsia="Calibri" w:hAnsi="Times New Roman"/>
                <w:i/>
                <w:sz w:val="22"/>
                <w:szCs w:val="22"/>
              </w:rPr>
            </w:pPr>
            <w:r w:rsidRPr="00981597">
              <w:rPr>
                <w:sz w:val="22"/>
                <w:szCs w:val="22"/>
              </w:rPr>
              <w:t>-1000</w:t>
            </w:r>
          </w:p>
        </w:tc>
      </w:tr>
    </w:tbl>
    <w:p w14:paraId="636C0C50" w14:textId="77777777" w:rsidR="00981597" w:rsidRDefault="00981597" w:rsidP="00981597">
      <w:pPr>
        <w:rPr>
          <w:rFonts w:ascii="Times New Roman" w:hAnsi="Times New Roman"/>
          <w:bCs/>
          <w:iCs/>
          <w:sz w:val="18"/>
          <w:szCs w:val="18"/>
          <w:lang w:eastAsia="es-CO"/>
        </w:rPr>
      </w:pPr>
      <w:r>
        <w:rPr>
          <w:rFonts w:ascii="Times New Roman" w:hAnsi="Times New Roman"/>
          <w:bCs/>
          <w:iCs/>
          <w:sz w:val="18"/>
          <w:szCs w:val="18"/>
          <w:lang w:eastAsia="es-CO"/>
        </w:rPr>
        <w:t>(*) El dato histórico obedece a la verificación desde el mes de agosto de 2016 al mes de diciembre de 2019, y se presenta como referencia para el estudio.</w:t>
      </w:r>
    </w:p>
    <w:p w14:paraId="4321531F"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6D889915" w14:textId="77777777" w:rsidR="00981597" w:rsidRDefault="00981597" w:rsidP="00AC6C47">
      <w:pPr>
        <w:jc w:val="center"/>
        <w:rPr>
          <w:rFonts w:ascii="Times New Roman" w:hAnsi="Times New Roman"/>
          <w:bCs/>
          <w:iCs/>
          <w:szCs w:val="24"/>
          <w:lang w:eastAsia="es-CO"/>
        </w:rPr>
      </w:pPr>
    </w:p>
    <w:p w14:paraId="034FAF33" w14:textId="196ADEA4" w:rsidR="00AC6C47" w:rsidRDefault="00AC6C47" w:rsidP="00AC6C47">
      <w:pPr>
        <w:rPr>
          <w:rFonts w:ascii="Times New Roman" w:hAnsi="Times New Roman"/>
          <w:bCs/>
          <w:iCs/>
          <w:szCs w:val="24"/>
          <w:lang w:eastAsia="es-CO"/>
        </w:rPr>
      </w:pPr>
      <w:r>
        <w:rPr>
          <w:rFonts w:ascii="Times New Roman" w:hAnsi="Times New Roman"/>
          <w:bCs/>
          <w:iCs/>
          <w:szCs w:val="24"/>
          <w:lang w:eastAsia="es-CO"/>
        </w:rPr>
        <w:t xml:space="preserve">Se evidencia la necesidad de fortalecer las actividades de evaluación control y vigilancia, más </w:t>
      </w:r>
      <w:proofErr w:type="gramStart"/>
      <w:r>
        <w:rPr>
          <w:rFonts w:ascii="Times New Roman" w:hAnsi="Times New Roman"/>
          <w:bCs/>
          <w:iCs/>
          <w:szCs w:val="24"/>
          <w:lang w:eastAsia="es-CO"/>
        </w:rPr>
        <w:t>aun</w:t>
      </w:r>
      <w:proofErr w:type="gramEnd"/>
      <w:r>
        <w:rPr>
          <w:rFonts w:ascii="Times New Roman" w:hAnsi="Times New Roman"/>
          <w:bCs/>
          <w:iCs/>
          <w:szCs w:val="24"/>
          <w:lang w:eastAsia="es-CO"/>
        </w:rPr>
        <w:t xml:space="preserve"> teniendo en cuenta que el planteamiento del proyecto involucra un diagnóstico detallado, y el valor histórico fue tomado como la identificación de los predios objeto de la investigación planteada, lo que involucra una mayor capacidad técnica y operativa para el desarrollo del proyecto. Por otro lado, se evidencia que para la adecuada planeación y priorización de las actividades de evaluación control y seguimiento, se ha necesitado un modelo conceptual de captura de información sobre características del suelo en sitios con afectación (potencial y configurada) al suelo y/o agua subterránea del acuífero somero, el cual se plantea como un producto secundario de acuerdo con el siguiente planeamiento:</w:t>
      </w:r>
    </w:p>
    <w:p w14:paraId="2300E469" w14:textId="77777777" w:rsidR="00AC6C47" w:rsidRDefault="00AC6C47" w:rsidP="00AC6C47">
      <w:pPr>
        <w:jc w:val="left"/>
        <w:rPr>
          <w:rFonts w:ascii="Times New Roman" w:hAnsi="Times New Roman"/>
          <w:bCs/>
          <w:iCs/>
          <w:szCs w:val="24"/>
          <w:lang w:eastAsia="es-CO"/>
        </w:rPr>
      </w:pPr>
      <w:bookmarkStart w:id="11" w:name="_Hlk41049775"/>
    </w:p>
    <w:p w14:paraId="7447626A" w14:textId="24998744" w:rsidR="00AC6C47" w:rsidRDefault="00AC6C47" w:rsidP="00AC6C47">
      <w:pPr>
        <w:jc w:val="center"/>
        <w:rPr>
          <w:rFonts w:ascii="Times New Roman" w:hAnsi="Times New Roman"/>
          <w:sz w:val="22"/>
          <w:szCs w:val="22"/>
        </w:rPr>
      </w:pPr>
      <w:r>
        <w:rPr>
          <w:rFonts w:ascii="Times New Roman" w:hAnsi="Times New Roman"/>
          <w:sz w:val="22"/>
          <w:szCs w:val="22"/>
        </w:rPr>
        <w:t xml:space="preserve">Tabla 13. Estudio de oferta y demanda del producto secundario.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061028" w14:paraId="7ED135FB" w14:textId="77777777" w:rsidTr="00AC41A9">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A67B34"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ESTUDIO DE NECESIDADES</w:t>
            </w:r>
          </w:p>
        </w:tc>
      </w:tr>
      <w:tr w:rsidR="00981597" w:rsidRPr="00061028" w14:paraId="0F53232F"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B10D1F3" w14:textId="77777777" w:rsidR="00981597" w:rsidRPr="00061028" w:rsidRDefault="00981597" w:rsidP="00AC41A9">
            <w:pPr>
              <w:jc w:val="center"/>
              <w:rPr>
                <w:rFonts w:ascii="Times New Roman" w:eastAsia="Calibri" w:hAnsi="Times New Roman"/>
                <w:b/>
                <w:color w:val="FFFFFF"/>
                <w:sz w:val="22"/>
                <w:szCs w:val="22"/>
              </w:rPr>
            </w:pPr>
            <w:bookmarkStart w:id="12" w:name="_Hlk55408299"/>
            <w:r w:rsidRPr="00061028">
              <w:rPr>
                <w:rFonts w:ascii="Times New Roman" w:eastAsia="Calibri" w:hAnsi="Times New Roman"/>
                <w:b/>
                <w:color w:val="FFFFFF"/>
                <w:sz w:val="22"/>
                <w:szCs w:val="22"/>
              </w:rPr>
              <w:t>BIEN O SERVICIO A ENTREGAR O DEMANDA A SATISFACER NO. 2</w:t>
            </w:r>
          </w:p>
        </w:tc>
      </w:tr>
      <w:tr w:rsidR="00981597" w:rsidRPr="00061028" w14:paraId="65A253C3"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37975A1" w14:textId="77777777" w:rsidR="00981597" w:rsidRPr="00061028" w:rsidRDefault="00981597" w:rsidP="00AC41A9">
            <w:pPr>
              <w:jc w:val="center"/>
              <w:rPr>
                <w:rFonts w:ascii="Times New Roman" w:eastAsia="Calibri" w:hAnsi="Times New Roman"/>
                <w:b/>
                <w:sz w:val="22"/>
                <w:szCs w:val="22"/>
              </w:rPr>
            </w:pPr>
            <w:r w:rsidRPr="00061028">
              <w:rPr>
                <w:rFonts w:ascii="Times New Roman" w:hAnsi="Times New Roman"/>
                <w:b/>
                <w:bCs/>
                <w:color w:val="000000"/>
                <w:sz w:val="22"/>
                <w:szCs w:val="22"/>
                <w:lang w:eastAsia="es-CO"/>
              </w:rPr>
              <w:t>Modelo conceptual de captura de información sobre características del suelo en sitios con afectación (potencial y configurada) al suelo y/o agua subterránea del acuífero somero.</w:t>
            </w:r>
          </w:p>
        </w:tc>
      </w:tr>
      <w:tr w:rsidR="00981597" w:rsidRPr="00061028" w14:paraId="0B89D92F"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1F745B79" w14:textId="77777777" w:rsidR="00981597" w:rsidRPr="00061028" w:rsidRDefault="00981597" w:rsidP="00AC41A9">
            <w:pPr>
              <w:jc w:val="center"/>
              <w:rPr>
                <w:rFonts w:ascii="Times New Roman" w:eastAsia="Calibri" w:hAnsi="Times New Roman"/>
                <w:b/>
                <w:sz w:val="22"/>
                <w:szCs w:val="22"/>
              </w:rPr>
            </w:pPr>
            <w:r w:rsidRPr="00061028">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DE5FF8E" w14:textId="77777777" w:rsidR="00981597" w:rsidRPr="00061028" w:rsidRDefault="00981597" w:rsidP="00AC41A9">
            <w:pPr>
              <w:jc w:val="center"/>
              <w:rPr>
                <w:rFonts w:ascii="Times New Roman" w:eastAsia="Calibri" w:hAnsi="Times New Roman"/>
                <w:sz w:val="22"/>
                <w:szCs w:val="22"/>
              </w:rPr>
            </w:pPr>
            <w:r w:rsidRPr="00061028">
              <w:rPr>
                <w:rFonts w:ascii="Times New Roman" w:eastAsia="Calibri" w:hAnsi="Times New Roman"/>
                <w:sz w:val="22"/>
                <w:szCs w:val="22"/>
              </w:rPr>
              <w:t>Porcentaje de Avance</w:t>
            </w:r>
          </w:p>
        </w:tc>
      </w:tr>
      <w:tr w:rsidR="00981597" w:rsidRPr="00061028" w14:paraId="44BD01E5" w14:textId="77777777" w:rsidTr="00AC41A9">
        <w:trPr>
          <w:trHeight w:val="781"/>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5D9772" w14:textId="77777777" w:rsidR="00981597" w:rsidRPr="00061028" w:rsidRDefault="00981597" w:rsidP="00AC41A9">
            <w:pPr>
              <w:jc w:val="left"/>
              <w:rPr>
                <w:rFonts w:ascii="Times New Roman" w:eastAsia="Calibri" w:hAnsi="Times New Roman"/>
                <w:b/>
                <w:sz w:val="22"/>
                <w:szCs w:val="22"/>
              </w:rPr>
            </w:pPr>
            <w:r w:rsidRPr="00061028">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B87D32C" w14:textId="77777777" w:rsidR="00981597" w:rsidRPr="00061028" w:rsidRDefault="00981597" w:rsidP="00AC41A9">
            <w:pPr>
              <w:rPr>
                <w:rFonts w:ascii="Times New Roman" w:eastAsia="Calibri" w:hAnsi="Times New Roman"/>
                <w:sz w:val="22"/>
                <w:szCs w:val="22"/>
              </w:rPr>
            </w:pPr>
            <w:r w:rsidRPr="00061028">
              <w:rPr>
                <w:rFonts w:ascii="Times New Roman" w:hAnsi="Times New Roman"/>
                <w:color w:val="000000"/>
                <w:sz w:val="22"/>
                <w:szCs w:val="22"/>
                <w:lang w:eastAsia="es-CO"/>
              </w:rPr>
              <w:t>Desarrollo e implementación por fases de un Modelo Conceptual de captura de información sobre características del suelo en sitios con afectación (potencial y configurada) al suelo y/o agua subterránea del acuífero somero.</w:t>
            </w:r>
          </w:p>
        </w:tc>
      </w:tr>
      <w:tr w:rsidR="00981597" w:rsidRPr="00061028" w14:paraId="71473596"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1FE8FE6"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E33F00"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4B1AD"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351090C"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6D4EAF9"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DÉFICIT</w:t>
            </w:r>
          </w:p>
        </w:tc>
      </w:tr>
      <w:tr w:rsidR="00981597" w:rsidRPr="00061028" w14:paraId="59D68BEB"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3DFA13E"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HISTORICO</w:t>
            </w:r>
          </w:p>
          <w:p w14:paraId="4539BB23"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2CD11F8" w14:textId="77777777" w:rsidR="00981597" w:rsidRPr="00061028" w:rsidRDefault="00981597" w:rsidP="00AC41A9">
            <w:pPr>
              <w:jc w:val="center"/>
              <w:rPr>
                <w:rFonts w:ascii="Times New Roman" w:eastAsia="Calibri" w:hAnsi="Times New Roman"/>
                <w:i/>
                <w:sz w:val="22"/>
                <w:szCs w:val="22"/>
              </w:rPr>
            </w:pPr>
            <w:r w:rsidRPr="00061028">
              <w:rPr>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0373249"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090D02C"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E8EDD8F"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7D367E9D"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6C29AE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BE46CC" w14:textId="77777777" w:rsidR="00981597" w:rsidRPr="00061028" w:rsidRDefault="00981597" w:rsidP="00AC41A9">
            <w:pPr>
              <w:jc w:val="center"/>
              <w:rPr>
                <w:rFonts w:ascii="Times New Roman" w:eastAsia="Calibri" w:hAnsi="Times New Roman"/>
                <w:i/>
                <w:sz w:val="22"/>
                <w:szCs w:val="22"/>
              </w:rPr>
            </w:pPr>
            <w:r w:rsidRPr="00061028">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AECBA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C709A8"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CA128C"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7274D4F" w14:textId="77777777" w:rsidTr="00AC41A9">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2EA4539C"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2843D6" w14:textId="77777777" w:rsidR="00981597" w:rsidRPr="00061028" w:rsidRDefault="00981597" w:rsidP="00AC41A9">
            <w:pPr>
              <w:jc w:val="center"/>
              <w:rPr>
                <w:sz w:val="22"/>
                <w:szCs w:val="22"/>
              </w:rPr>
            </w:pPr>
            <w:r w:rsidRPr="00061028">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BF637A"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8072D"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182A9C" w14:textId="77777777" w:rsidR="00981597" w:rsidRPr="00061028" w:rsidRDefault="00981597" w:rsidP="00AC41A9">
            <w:pPr>
              <w:jc w:val="right"/>
              <w:rPr>
                <w:sz w:val="22"/>
                <w:szCs w:val="22"/>
              </w:rPr>
            </w:pPr>
            <w:r w:rsidRPr="00061028">
              <w:rPr>
                <w:sz w:val="22"/>
                <w:szCs w:val="22"/>
              </w:rPr>
              <w:t>-1</w:t>
            </w:r>
          </w:p>
        </w:tc>
      </w:tr>
      <w:tr w:rsidR="00981597" w:rsidRPr="00061028" w14:paraId="6DEE0AF8" w14:textId="77777777" w:rsidTr="00AC41A9">
        <w:trPr>
          <w:trHeight w:val="64"/>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59CD90B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367B1D" w14:textId="77777777" w:rsidR="00981597" w:rsidRPr="00061028" w:rsidRDefault="00981597" w:rsidP="00AC41A9">
            <w:pPr>
              <w:jc w:val="center"/>
              <w:rPr>
                <w:rFonts w:ascii="Times New Roman" w:eastAsia="Calibri" w:hAnsi="Times New Roman"/>
                <w:i/>
                <w:sz w:val="22"/>
                <w:szCs w:val="22"/>
              </w:rPr>
            </w:pPr>
            <w:r w:rsidRPr="00061028">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1DDE9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F1965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21134B"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090A14E"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27CD7E" w14:textId="77777777" w:rsidR="00981597" w:rsidRPr="00061028" w:rsidRDefault="00981597" w:rsidP="00AC41A9">
            <w:pPr>
              <w:jc w:val="center"/>
              <w:rPr>
                <w:rFonts w:ascii="Times New Roman" w:eastAsia="Calibri" w:hAnsi="Times New Roman"/>
                <w:b/>
                <w:color w:val="FFFFFF" w:themeColor="background1"/>
                <w:sz w:val="22"/>
                <w:szCs w:val="22"/>
              </w:rPr>
            </w:pPr>
          </w:p>
          <w:p w14:paraId="72034F49"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PROYECTADO</w:t>
            </w:r>
          </w:p>
          <w:p w14:paraId="04058EAC"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F065E" w14:textId="77777777" w:rsidR="00981597" w:rsidRPr="00061028" w:rsidRDefault="00981597" w:rsidP="00AC41A9">
            <w:pPr>
              <w:jc w:val="center"/>
              <w:rPr>
                <w:rFonts w:ascii="Times New Roman" w:eastAsia="Calibri" w:hAnsi="Times New Roman"/>
                <w:i/>
                <w:sz w:val="22"/>
                <w:szCs w:val="22"/>
              </w:rPr>
            </w:pPr>
            <w:r w:rsidRPr="00061028">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E4329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5C10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AA17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10AD7F4"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788EFBA"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61637F" w14:textId="77777777" w:rsidR="00981597" w:rsidRPr="00061028" w:rsidRDefault="00981597" w:rsidP="00AC41A9">
            <w:pPr>
              <w:jc w:val="center"/>
              <w:rPr>
                <w:sz w:val="22"/>
                <w:szCs w:val="22"/>
              </w:rPr>
            </w:pPr>
            <w:r w:rsidRPr="00061028">
              <w:rPr>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32F06D"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3E7803"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EF2F2" w14:textId="77777777" w:rsidR="00981597" w:rsidRPr="00061028" w:rsidRDefault="00981597" w:rsidP="00AC41A9">
            <w:pPr>
              <w:jc w:val="right"/>
              <w:rPr>
                <w:sz w:val="22"/>
                <w:szCs w:val="22"/>
              </w:rPr>
            </w:pPr>
            <w:r w:rsidRPr="00061028">
              <w:rPr>
                <w:sz w:val="22"/>
                <w:szCs w:val="22"/>
              </w:rPr>
              <w:t>-1</w:t>
            </w:r>
          </w:p>
        </w:tc>
      </w:tr>
      <w:tr w:rsidR="00981597" w:rsidRPr="00061028" w14:paraId="61C1C30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80B5B4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BA3A2B" w14:textId="77777777" w:rsidR="00981597" w:rsidRPr="00061028" w:rsidRDefault="00981597" w:rsidP="00AC41A9">
            <w:pPr>
              <w:jc w:val="center"/>
              <w:rPr>
                <w:sz w:val="22"/>
                <w:szCs w:val="22"/>
              </w:rPr>
            </w:pPr>
            <w:r w:rsidRPr="00061028">
              <w:rPr>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564902"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3B8CD8"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72060" w14:textId="77777777" w:rsidR="00981597" w:rsidRPr="00061028" w:rsidRDefault="00981597" w:rsidP="00AC41A9">
            <w:pPr>
              <w:jc w:val="right"/>
              <w:rPr>
                <w:sz w:val="22"/>
                <w:szCs w:val="22"/>
              </w:rPr>
            </w:pPr>
            <w:r w:rsidRPr="00061028">
              <w:rPr>
                <w:sz w:val="22"/>
                <w:szCs w:val="22"/>
              </w:rPr>
              <w:t>-1</w:t>
            </w:r>
          </w:p>
        </w:tc>
      </w:tr>
      <w:tr w:rsidR="00981597" w:rsidRPr="00061028" w14:paraId="515BD12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1633682"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2F1310" w14:textId="77777777" w:rsidR="00981597" w:rsidRPr="00061028" w:rsidRDefault="00981597" w:rsidP="00AC41A9">
            <w:pPr>
              <w:jc w:val="center"/>
              <w:rPr>
                <w:rFonts w:ascii="Times New Roman" w:eastAsia="Calibri" w:hAnsi="Times New Roman"/>
                <w:i/>
                <w:sz w:val="22"/>
                <w:szCs w:val="22"/>
              </w:rPr>
            </w:pPr>
            <w:r w:rsidRPr="00061028">
              <w:rPr>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FB0DA0"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469189"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A098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025B9570"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A7310C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5816DC" w14:textId="77777777" w:rsidR="00981597" w:rsidRPr="00061028" w:rsidRDefault="00981597" w:rsidP="00AC41A9">
            <w:pPr>
              <w:jc w:val="center"/>
              <w:rPr>
                <w:rFonts w:ascii="Times New Roman" w:eastAsia="Calibri" w:hAnsi="Times New Roman"/>
                <w:i/>
                <w:sz w:val="22"/>
                <w:szCs w:val="22"/>
              </w:rPr>
            </w:pPr>
            <w:r w:rsidRPr="00061028">
              <w:rPr>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71CAF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8445CA"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762AF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bl>
    <w:p w14:paraId="0E808A49"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bookmarkEnd w:id="11"/>
    <w:bookmarkEnd w:id="12"/>
    <w:p w14:paraId="26080C4E" w14:textId="64EB5395" w:rsidR="00F550E3" w:rsidRDefault="00F550E3">
      <w:pPr>
        <w:pBdr>
          <w:top w:val="nil"/>
          <w:left w:val="nil"/>
          <w:bottom w:val="nil"/>
          <w:right w:val="nil"/>
          <w:between w:val="nil"/>
        </w:pBdr>
        <w:ind w:left="720" w:hanging="708"/>
        <w:jc w:val="left"/>
        <w:rPr>
          <w:rFonts w:ascii="Times New Roman" w:hAnsi="Times New Roman"/>
          <w:i/>
          <w:sz w:val="22"/>
          <w:szCs w:val="22"/>
        </w:rPr>
      </w:pPr>
    </w:p>
    <w:p w14:paraId="32F258CA" w14:textId="77777777" w:rsidR="00981597" w:rsidRPr="0018003D" w:rsidRDefault="00981597">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111C984" w14:textId="1360EA06" w:rsidR="00AC6C47" w:rsidRDefault="00AC6C47" w:rsidP="00AC6C47">
      <w:pPr>
        <w:pStyle w:val="Prrafodelista"/>
        <w:ind w:left="0"/>
        <w:contextualSpacing/>
        <w:rPr>
          <w:rFonts w:ascii="Times New Roman" w:hAnsi="Times New Roman"/>
          <w:b/>
          <w:bCs/>
          <w:i/>
          <w:iCs/>
          <w:szCs w:val="24"/>
          <w:lang w:eastAsia="es-CO"/>
        </w:rPr>
      </w:pP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4DE193C9" w14:textId="07FEA33A"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7FACF35" w14:textId="26A68ADF"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7545FA4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El desarrollo de la alternativa involucra el diagnóstico de las condiciones físicas químicas y geológicas de 1000 predios en los que se identificó el desarrollo de actividades industriales, de servicios y con antecedentes de explotación minera con una afectación (potencial o constituida) sobre suelos y agua subterránea del acuífero somero. Los predios de acuerdo con las actividades identificadas se distribuyen de la siguiente manera:</w:t>
      </w:r>
    </w:p>
    <w:p w14:paraId="189F0515" w14:textId="77777777" w:rsidR="00AC6C47" w:rsidRDefault="00AC6C47" w:rsidP="00AC6C47">
      <w:pPr>
        <w:rPr>
          <w:rFonts w:ascii="Times New Roman" w:hAnsi="Times New Roman"/>
          <w:iCs/>
          <w:color w:val="000000" w:themeColor="text1"/>
          <w:szCs w:val="24"/>
        </w:rPr>
      </w:pPr>
    </w:p>
    <w:p w14:paraId="2792AC34"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industrial y de servicios: 24 predios con instrumentos ambientales de investigación remediación y desmantelamiento en ejecución, 87 predios con actividades asociadas al desmantelamiento y 104 predios con potencial de afectación al suelo por actividades industriales y de servicio objeto de control y vigilancia ambiental.</w:t>
      </w:r>
    </w:p>
    <w:p w14:paraId="40E51BDC"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de Almacenamiento y distribución de hidrocarburos: 326 con evidencias de afectación a suelo y agua subterránea 188 de ellos con labores de investigación adelantadas y 138 sin actividades de identificación planteadas; Y 242 predios con actividades de almacenamiento subterráneo de combustibles con potencial de afectación para control y vigilancia ambiental.</w:t>
      </w:r>
    </w:p>
    <w:p w14:paraId="306AA003"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Explotación minera en realizada y en desarrollo: 44 predios con instrumentos ambientales de restauración y recuperación en seguimiento y 174 predios objeto de control ambiental sin instrumentos ambientales asociados.</w:t>
      </w:r>
    </w:p>
    <w:p w14:paraId="05896BCF" w14:textId="77777777" w:rsidR="00AC6C47" w:rsidRDefault="00AC6C47" w:rsidP="00AC6C47">
      <w:pPr>
        <w:rPr>
          <w:rFonts w:ascii="Times New Roman" w:hAnsi="Times New Roman"/>
          <w:iCs/>
          <w:color w:val="000000" w:themeColor="text1"/>
          <w:szCs w:val="24"/>
        </w:rPr>
      </w:pPr>
    </w:p>
    <w:p w14:paraId="03F99A1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Se propone que a través del fortalecimiento de las actividades misionales evaluación control y vigilancia en los predios identificados se ejecute un diagnóstico que permita generar un inventario de predios con suelos degradados, sitios contaminados y pasivos ambientales, y asimismo un </w:t>
      </w:r>
      <w:r>
        <w:rPr>
          <w:rFonts w:ascii="Times New Roman" w:hAnsi="Times New Roman"/>
          <w:iCs/>
          <w:color w:val="000000" w:themeColor="text1"/>
          <w:szCs w:val="24"/>
        </w:rPr>
        <w:lastRenderedPageBreak/>
        <w:t>modelo conceptual de captura de información sobre características del suelo en sitios con afectación (potencial y configurada) al suelo y/o agua subterránea del acuífero somero, permitiendo a través de estas herramientas realizar una planificación adecuada de la administración de los recursos naturales planteados.</w:t>
      </w:r>
    </w:p>
    <w:p w14:paraId="19989562" w14:textId="77777777" w:rsidR="00AC6C47" w:rsidRDefault="00AC6C47" w:rsidP="00AC6C47">
      <w:pPr>
        <w:rPr>
          <w:rFonts w:ascii="Times New Roman" w:hAnsi="Times New Roman"/>
          <w:iCs/>
          <w:color w:val="000000" w:themeColor="text1"/>
          <w:szCs w:val="24"/>
        </w:rPr>
      </w:pPr>
    </w:p>
    <w:p w14:paraId="0DA79936"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Asimismo, es necesario fortalecer los tramites ambiental adelantados y pendientes con aras de poder garantizar la acogida de las actuaciones técnicas que diagnostiquen afectaciones que configuren para una sanción de carácter ambiental a propietarios y/o operadores de actividades en los predios mencionados.</w:t>
      </w:r>
    </w:p>
    <w:p w14:paraId="097AF7FC" w14:textId="0AC9589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2FAA5FB" w14:textId="69590DF0"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30EC298C" w14:textId="77777777" w:rsidR="00AC6C47" w:rsidRDefault="00AC6C47" w:rsidP="00AC6C47">
      <w:pPr>
        <w:rPr>
          <w:rFonts w:ascii="Times New Roman" w:hAnsi="Times New Roman"/>
          <w:szCs w:val="24"/>
          <w:lang w:eastAsia="es-CO"/>
        </w:rPr>
      </w:pPr>
      <w:r>
        <w:rPr>
          <w:rFonts w:ascii="Times New Roman" w:hAnsi="Times New Roman"/>
          <w:szCs w:val="24"/>
          <w:lang w:eastAsia="es-CO"/>
        </w:rPr>
        <w:t>Se establece la siguiente normatividad ambiental y política para el desarrollo del proyecto</w:t>
      </w:r>
    </w:p>
    <w:p w14:paraId="6F02A697" w14:textId="77777777" w:rsidR="00AC6C47" w:rsidRDefault="00AC6C47" w:rsidP="00AC6C47">
      <w:pPr>
        <w:rPr>
          <w:rFonts w:ascii="Times New Roman" w:hAnsi="Times New Roman"/>
          <w:b/>
          <w:bCs/>
          <w:szCs w:val="24"/>
          <w:highlight w:val="green"/>
          <w:lang w:eastAsia="es-CO"/>
        </w:rPr>
      </w:pPr>
    </w:p>
    <w:p w14:paraId="53BDDAAD" w14:textId="77777777" w:rsidR="00AC6C47" w:rsidRDefault="00AC6C47" w:rsidP="00AC6C47">
      <w:pPr>
        <w:jc w:val="center"/>
        <w:rPr>
          <w:rFonts w:ascii="Times New Roman" w:hAnsi="Times New Roman"/>
          <w:sz w:val="22"/>
          <w:szCs w:val="22"/>
        </w:rPr>
      </w:pPr>
      <w:r>
        <w:rPr>
          <w:rFonts w:ascii="Times New Roman" w:hAnsi="Times New Roman"/>
          <w:sz w:val="22"/>
          <w:szCs w:val="22"/>
        </w:rPr>
        <w:t>Tabla 14. Aspectos Legales del proyecto</w:t>
      </w:r>
    </w:p>
    <w:tbl>
      <w:tblPr>
        <w:tblW w:w="10279" w:type="dxa"/>
        <w:jc w:val="center"/>
        <w:tblCellMar>
          <w:left w:w="70" w:type="dxa"/>
          <w:right w:w="70" w:type="dxa"/>
        </w:tblCellMar>
        <w:tblLook w:val="04A0" w:firstRow="1" w:lastRow="0" w:firstColumn="1" w:lastColumn="0" w:noHBand="0" w:noVBand="1"/>
      </w:tblPr>
      <w:tblGrid>
        <w:gridCol w:w="1595"/>
        <w:gridCol w:w="5675"/>
        <w:gridCol w:w="1560"/>
        <w:gridCol w:w="1449"/>
      </w:tblGrid>
      <w:tr w:rsidR="00AC6C47" w14:paraId="44ED0AB5" w14:textId="77777777" w:rsidTr="00981597">
        <w:trPr>
          <w:trHeight w:val="300"/>
          <w:tblHeader/>
          <w:jc w:val="center"/>
        </w:trPr>
        <w:tc>
          <w:tcPr>
            <w:tcW w:w="1595"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57B0760"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sz w:val="22"/>
                <w:szCs w:val="22"/>
              </w:rPr>
              <w:t xml:space="preserve">. </w:t>
            </w:r>
            <w:r>
              <w:rPr>
                <w:rFonts w:ascii="Times New Roman" w:hAnsi="Times New Roman"/>
                <w:b/>
                <w:bCs/>
                <w:color w:val="000000"/>
                <w:sz w:val="22"/>
                <w:szCs w:val="22"/>
                <w:lang w:eastAsia="es-CO"/>
              </w:rPr>
              <w:t>TIPO DE DISPOSICION</w:t>
            </w:r>
          </w:p>
        </w:tc>
        <w:tc>
          <w:tcPr>
            <w:tcW w:w="5675"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4BD6B04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NORMA</w:t>
            </w:r>
          </w:p>
        </w:tc>
        <w:tc>
          <w:tcPr>
            <w:tcW w:w="1560"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0634D1A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ENTIDAD EMISORA</w:t>
            </w:r>
          </w:p>
        </w:tc>
        <w:tc>
          <w:tcPr>
            <w:tcW w:w="1449"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335AFEC8"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ARTICULOS</w:t>
            </w:r>
          </w:p>
        </w:tc>
      </w:tr>
      <w:tr w:rsidR="00AC6C47" w14:paraId="26AACFCC" w14:textId="77777777" w:rsidTr="00981597">
        <w:trPr>
          <w:trHeight w:val="1200"/>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54C0A99B" w14:textId="77777777" w:rsidR="00AC6C47" w:rsidRDefault="00AC6C47">
            <w:pPr>
              <w:spacing w:line="256" w:lineRule="auto"/>
              <w:jc w:val="center"/>
              <w:rPr>
                <w:rFonts w:ascii="Times New Roman" w:hAnsi="Times New Roman"/>
                <w:color w:val="000000"/>
                <w:sz w:val="20"/>
                <w:lang w:eastAsia="es-CO"/>
              </w:rPr>
            </w:pPr>
            <w:bookmarkStart w:id="13" w:name="_Hlk41062243"/>
            <w:r>
              <w:rPr>
                <w:rFonts w:ascii="Times New Roman" w:hAnsi="Times New Roman"/>
                <w:color w:val="000000"/>
                <w:sz w:val="20"/>
                <w:lang w:eastAsia="es-CO"/>
              </w:rPr>
              <w:t>NACIONAL</w:t>
            </w:r>
          </w:p>
        </w:tc>
        <w:tc>
          <w:tcPr>
            <w:tcW w:w="5675" w:type="dxa"/>
            <w:tcBorders>
              <w:top w:val="nil"/>
              <w:left w:val="nil"/>
              <w:bottom w:val="single" w:sz="4" w:space="0" w:color="auto"/>
              <w:right w:val="single" w:sz="4" w:space="0" w:color="auto"/>
            </w:tcBorders>
            <w:vAlign w:val="center"/>
            <w:hideMark/>
          </w:tcPr>
          <w:p w14:paraId="7E376FB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23 de 1973 "Por el cual se conceden facultades extraordinarias al presidente de la República para expedir el Código de Recursos Naturales y de Protección al Medio Ambiente y se dictan otras disposiciones."</w:t>
            </w:r>
          </w:p>
        </w:tc>
        <w:tc>
          <w:tcPr>
            <w:tcW w:w="1560" w:type="dxa"/>
            <w:tcBorders>
              <w:top w:val="nil"/>
              <w:left w:val="nil"/>
              <w:bottom w:val="single" w:sz="4" w:space="0" w:color="auto"/>
              <w:right w:val="single" w:sz="4" w:space="0" w:color="auto"/>
            </w:tcBorders>
            <w:noWrap/>
            <w:vAlign w:val="center"/>
            <w:hideMark/>
          </w:tcPr>
          <w:p w14:paraId="2FC548C6"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3E859B7D"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2,4 y 5</w:t>
            </w:r>
          </w:p>
        </w:tc>
      </w:tr>
      <w:tr w:rsidR="00AC6C47" w14:paraId="5B156318"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1F2803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F2E16F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Ley 2811 de 1974 "Por el cual se dicta el Código Nacional de Recursos Naturales Renovables y de Protección al Medio Ambiente."</w:t>
            </w:r>
          </w:p>
        </w:tc>
        <w:tc>
          <w:tcPr>
            <w:tcW w:w="1560" w:type="dxa"/>
            <w:tcBorders>
              <w:top w:val="nil"/>
              <w:left w:val="nil"/>
              <w:bottom w:val="single" w:sz="4" w:space="0" w:color="auto"/>
              <w:right w:val="single" w:sz="4" w:space="0" w:color="auto"/>
            </w:tcBorders>
            <w:noWrap/>
            <w:vAlign w:val="center"/>
            <w:hideMark/>
          </w:tcPr>
          <w:p w14:paraId="3634298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0A28D23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y 35</w:t>
            </w:r>
          </w:p>
        </w:tc>
      </w:tr>
      <w:tr w:rsidR="00AC6C47" w14:paraId="01842DD6" w14:textId="77777777" w:rsidTr="0098159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5E8764C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B316C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CONSTITUCIÓN POLITICA DE COLOMBIA DE 1991</w:t>
            </w:r>
          </w:p>
        </w:tc>
        <w:tc>
          <w:tcPr>
            <w:tcW w:w="1560" w:type="dxa"/>
            <w:tcBorders>
              <w:top w:val="nil"/>
              <w:left w:val="nil"/>
              <w:bottom w:val="single" w:sz="4" w:space="0" w:color="auto"/>
              <w:right w:val="single" w:sz="4" w:space="0" w:color="auto"/>
            </w:tcBorders>
            <w:noWrap/>
            <w:vAlign w:val="center"/>
            <w:hideMark/>
          </w:tcPr>
          <w:p w14:paraId="022B882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Republica Colombia</w:t>
            </w:r>
          </w:p>
        </w:tc>
        <w:tc>
          <w:tcPr>
            <w:tcW w:w="1449" w:type="dxa"/>
            <w:tcBorders>
              <w:top w:val="nil"/>
              <w:left w:val="nil"/>
              <w:bottom w:val="single" w:sz="4" w:space="0" w:color="auto"/>
              <w:right w:val="single" w:sz="4" w:space="0" w:color="auto"/>
            </w:tcBorders>
            <w:noWrap/>
            <w:vAlign w:val="center"/>
            <w:hideMark/>
          </w:tcPr>
          <w:p w14:paraId="5B12F66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58, 79, 80, 95 (Numeral 8) y 333</w:t>
            </w:r>
          </w:p>
        </w:tc>
      </w:tr>
      <w:tr w:rsidR="00AC6C47" w14:paraId="2C5338A1" w14:textId="77777777" w:rsidTr="00981597">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14:paraId="46DF0F62"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65DF59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99 de 1993 " 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1560" w:type="dxa"/>
            <w:tcBorders>
              <w:top w:val="nil"/>
              <w:left w:val="nil"/>
              <w:bottom w:val="single" w:sz="4" w:space="0" w:color="auto"/>
              <w:right w:val="single" w:sz="4" w:space="0" w:color="auto"/>
            </w:tcBorders>
            <w:noWrap/>
            <w:vAlign w:val="center"/>
            <w:hideMark/>
          </w:tcPr>
          <w:p w14:paraId="0DA4C3F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04FE56C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61, 65, 66 y 107</w:t>
            </w:r>
          </w:p>
        </w:tc>
      </w:tr>
      <w:tr w:rsidR="00AC6C47" w14:paraId="51CA68FE"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FB03E66"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756949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685 de 2001 "por la cual se expide el Código de Minas y se dictan otras disposiciones"</w:t>
            </w:r>
          </w:p>
        </w:tc>
        <w:tc>
          <w:tcPr>
            <w:tcW w:w="1560" w:type="dxa"/>
            <w:tcBorders>
              <w:top w:val="nil"/>
              <w:left w:val="nil"/>
              <w:bottom w:val="single" w:sz="4" w:space="0" w:color="auto"/>
              <w:right w:val="single" w:sz="4" w:space="0" w:color="auto"/>
            </w:tcBorders>
            <w:noWrap/>
            <w:vAlign w:val="center"/>
            <w:hideMark/>
          </w:tcPr>
          <w:p w14:paraId="4F8F2DE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42E1216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D66B16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D2AC18C"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C4FF99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321 de 1999 “Por el cual se adopta el Plan Nacional de Contingencia contra derrames de Hidrocarburos, Derivados y Sustancias Nocivas.”:</w:t>
            </w:r>
          </w:p>
        </w:tc>
        <w:tc>
          <w:tcPr>
            <w:tcW w:w="1560" w:type="dxa"/>
            <w:tcBorders>
              <w:top w:val="nil"/>
              <w:left w:val="nil"/>
              <w:bottom w:val="single" w:sz="4" w:space="0" w:color="auto"/>
              <w:right w:val="single" w:sz="4" w:space="0" w:color="auto"/>
            </w:tcBorders>
            <w:noWrap/>
            <w:vAlign w:val="center"/>
            <w:hideMark/>
          </w:tcPr>
          <w:p w14:paraId="3326041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5478E7E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2960EC6"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7AFFC9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5799CE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1437 de 2011 "Por la cual se expide el Código de Procedimiento Administrativo y de lo Contencioso Administrativo."</w:t>
            </w:r>
          </w:p>
        </w:tc>
        <w:tc>
          <w:tcPr>
            <w:tcW w:w="1560" w:type="dxa"/>
            <w:tcBorders>
              <w:top w:val="nil"/>
              <w:left w:val="nil"/>
              <w:bottom w:val="single" w:sz="4" w:space="0" w:color="auto"/>
              <w:right w:val="single" w:sz="4" w:space="0" w:color="auto"/>
            </w:tcBorders>
            <w:noWrap/>
            <w:vAlign w:val="center"/>
            <w:hideMark/>
          </w:tcPr>
          <w:p w14:paraId="4584E2F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16032B0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76EDAFD5"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1C17F0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731D7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1073 de 2015 "Por la cual medio del cual se expide el Decreto Único Reglamentario del Sector Administrativo de Minas y Energía"</w:t>
            </w:r>
          </w:p>
        </w:tc>
        <w:tc>
          <w:tcPr>
            <w:tcW w:w="1560" w:type="dxa"/>
            <w:tcBorders>
              <w:top w:val="nil"/>
              <w:left w:val="nil"/>
              <w:bottom w:val="single" w:sz="4" w:space="0" w:color="auto"/>
              <w:right w:val="single" w:sz="4" w:space="0" w:color="auto"/>
            </w:tcBorders>
            <w:noWrap/>
            <w:vAlign w:val="center"/>
            <w:hideMark/>
          </w:tcPr>
          <w:p w14:paraId="6E34758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6D8DE09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Parte 2 Título I Sección 2</w:t>
            </w:r>
          </w:p>
        </w:tc>
      </w:tr>
      <w:tr w:rsidR="00AC6C47" w14:paraId="4095CCE2"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177F7A6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086F31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1075 de 2015 "Por la cual medio del cual se expide el Decreto Único Reglamentario del Sector Administrativo de ambiente y Desarrollo Sostenible"</w:t>
            </w:r>
          </w:p>
        </w:tc>
        <w:tc>
          <w:tcPr>
            <w:tcW w:w="1560" w:type="dxa"/>
            <w:tcBorders>
              <w:top w:val="nil"/>
              <w:left w:val="nil"/>
              <w:bottom w:val="single" w:sz="4" w:space="0" w:color="auto"/>
              <w:right w:val="single" w:sz="4" w:space="0" w:color="auto"/>
            </w:tcBorders>
            <w:noWrap/>
            <w:vAlign w:val="center"/>
            <w:hideMark/>
          </w:tcPr>
          <w:p w14:paraId="2429A6D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6CF2FB0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2.2.6.1.3.1., 2.2.6.1.3.9 y 2.2.6.2.2.1</w:t>
            </w:r>
          </w:p>
        </w:tc>
      </w:tr>
      <w:tr w:rsidR="00AC6C47" w14:paraId="27F6C69B"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DE1C58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6964AF0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31348 de 2015 "Por la cual se establecen los procedimientos y condiciones operativas del Sistema de Información de Combustibles Líquidos - SICOM "</w:t>
            </w:r>
          </w:p>
        </w:tc>
        <w:tc>
          <w:tcPr>
            <w:tcW w:w="1560" w:type="dxa"/>
            <w:tcBorders>
              <w:top w:val="nil"/>
              <w:left w:val="nil"/>
              <w:bottom w:val="single" w:sz="4" w:space="0" w:color="auto"/>
              <w:right w:val="single" w:sz="4" w:space="0" w:color="auto"/>
            </w:tcBorders>
            <w:noWrap/>
            <w:vAlign w:val="center"/>
            <w:hideMark/>
          </w:tcPr>
          <w:p w14:paraId="569C771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4B91806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F7B8E1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12DF91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BB96D2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2001 de 2016 "Por la cual se determinan las zonas compatibles con las explotaciones mineras en la Sabana de Bogotá, y se adoptan otras determinaciones"</w:t>
            </w:r>
          </w:p>
        </w:tc>
        <w:tc>
          <w:tcPr>
            <w:tcW w:w="1560" w:type="dxa"/>
            <w:tcBorders>
              <w:top w:val="nil"/>
              <w:left w:val="nil"/>
              <w:bottom w:val="single" w:sz="4" w:space="0" w:color="auto"/>
              <w:right w:val="single" w:sz="4" w:space="0" w:color="auto"/>
            </w:tcBorders>
            <w:noWrap/>
            <w:vAlign w:val="center"/>
            <w:hideMark/>
          </w:tcPr>
          <w:p w14:paraId="339C3DF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010DD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A1A4BB6"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62063A8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3FF4B4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40278 de 2017 "Por la cual se expide el reglamento técnico aplicable a las estaciones de servicio que suministran gas natural comprimido para uso vehicular y se dictan otras disposiciones"</w:t>
            </w:r>
          </w:p>
        </w:tc>
        <w:tc>
          <w:tcPr>
            <w:tcW w:w="1560" w:type="dxa"/>
            <w:tcBorders>
              <w:top w:val="nil"/>
              <w:left w:val="nil"/>
              <w:bottom w:val="single" w:sz="4" w:space="0" w:color="auto"/>
              <w:right w:val="single" w:sz="4" w:space="0" w:color="auto"/>
            </w:tcBorders>
            <w:noWrap/>
            <w:vAlign w:val="center"/>
            <w:hideMark/>
          </w:tcPr>
          <w:p w14:paraId="13F758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131790C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5 y 9</w:t>
            </w:r>
          </w:p>
        </w:tc>
      </w:tr>
      <w:tr w:rsidR="00AC6C47" w14:paraId="25E8E73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2DD72CA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2D9E57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1499 de 2018 "Por la cual se modifica la Resolución 2001 de 2016 a través de la cual se determinaron las zonas compatibles con las actividades mineras en la Sabana de Bogotá"</w:t>
            </w:r>
          </w:p>
        </w:tc>
        <w:tc>
          <w:tcPr>
            <w:tcW w:w="1560" w:type="dxa"/>
            <w:tcBorders>
              <w:top w:val="nil"/>
              <w:left w:val="nil"/>
              <w:bottom w:val="single" w:sz="4" w:space="0" w:color="auto"/>
              <w:right w:val="single" w:sz="4" w:space="0" w:color="auto"/>
            </w:tcBorders>
            <w:noWrap/>
            <w:vAlign w:val="center"/>
            <w:hideMark/>
          </w:tcPr>
          <w:p w14:paraId="6C446F9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187A465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37FE41B" w14:textId="77777777" w:rsidTr="00981597">
        <w:trPr>
          <w:trHeight w:val="1500"/>
          <w:jc w:val="center"/>
        </w:trPr>
        <w:tc>
          <w:tcPr>
            <w:tcW w:w="0" w:type="auto"/>
            <w:vMerge/>
            <w:tcBorders>
              <w:top w:val="nil"/>
              <w:left w:val="single" w:sz="4" w:space="0" w:color="auto"/>
              <w:bottom w:val="single" w:sz="4" w:space="0" w:color="auto"/>
              <w:right w:val="single" w:sz="4" w:space="0" w:color="auto"/>
            </w:tcBorders>
            <w:vAlign w:val="center"/>
            <w:hideMark/>
          </w:tcPr>
          <w:p w14:paraId="72FA4B78"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72E206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50 de 2018 "Por el cual se modifica parcialmente el Decreto 1076 de 2015, Decreto Único Reglamentario del Sector Ambiente y Desarrollo Sostenible en relación con los Consejos Ambientales Regionales de la Macrocuencas (CARMAC), el Ordenamiento del Recurso Hídrico y Vertimientos y se dictan otras disposiciones"</w:t>
            </w:r>
          </w:p>
        </w:tc>
        <w:tc>
          <w:tcPr>
            <w:tcW w:w="1560" w:type="dxa"/>
            <w:tcBorders>
              <w:top w:val="nil"/>
              <w:left w:val="nil"/>
              <w:bottom w:val="single" w:sz="4" w:space="0" w:color="auto"/>
              <w:right w:val="single" w:sz="4" w:space="0" w:color="auto"/>
            </w:tcBorders>
            <w:noWrap/>
            <w:vAlign w:val="center"/>
            <w:hideMark/>
          </w:tcPr>
          <w:p w14:paraId="0F9EA36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53EE996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4 al 7</w:t>
            </w:r>
          </w:p>
        </w:tc>
      </w:tr>
      <w:tr w:rsidR="00AC6C47" w14:paraId="63F992CF"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C5E918F"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3030C2B"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1486 de 2018 "Por la cual se adopta el formato único para el reporte de las contingencias para proyectos no licenciados y se adoptan otras determinaciones"</w:t>
            </w:r>
          </w:p>
        </w:tc>
        <w:tc>
          <w:tcPr>
            <w:tcW w:w="1560" w:type="dxa"/>
            <w:tcBorders>
              <w:top w:val="nil"/>
              <w:left w:val="nil"/>
              <w:bottom w:val="single" w:sz="4" w:space="0" w:color="auto"/>
              <w:right w:val="single" w:sz="4" w:space="0" w:color="auto"/>
            </w:tcBorders>
            <w:noWrap/>
            <w:vAlign w:val="center"/>
            <w:hideMark/>
          </w:tcPr>
          <w:p w14:paraId="16F692B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66EF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 al 5</w:t>
            </w:r>
          </w:p>
        </w:tc>
      </w:tr>
      <w:tr w:rsidR="00AC6C47" w14:paraId="1F700C2B" w14:textId="77777777" w:rsidTr="00981597">
        <w:trPr>
          <w:trHeight w:val="394"/>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7881E8B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DISTRITAL</w:t>
            </w:r>
          </w:p>
        </w:tc>
        <w:tc>
          <w:tcPr>
            <w:tcW w:w="5675" w:type="dxa"/>
            <w:tcBorders>
              <w:top w:val="nil"/>
              <w:left w:val="nil"/>
              <w:bottom w:val="single" w:sz="4" w:space="0" w:color="auto"/>
              <w:right w:val="single" w:sz="4" w:space="0" w:color="auto"/>
            </w:tcBorders>
            <w:vAlign w:val="center"/>
            <w:hideMark/>
          </w:tcPr>
          <w:p w14:paraId="2ACA76D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1170 de 1997 "Por medio de la cual se dictan normas sobre estaciones de servicio e instalaciones afines y se deroga la Resolución 245 del 15 abril de 1997"</w:t>
            </w:r>
          </w:p>
        </w:tc>
        <w:tc>
          <w:tcPr>
            <w:tcW w:w="1560" w:type="dxa"/>
            <w:tcBorders>
              <w:top w:val="nil"/>
              <w:left w:val="nil"/>
              <w:bottom w:val="single" w:sz="4" w:space="0" w:color="auto"/>
              <w:right w:val="single" w:sz="4" w:space="0" w:color="auto"/>
            </w:tcBorders>
            <w:noWrap/>
            <w:vAlign w:val="center"/>
            <w:hideMark/>
          </w:tcPr>
          <w:p w14:paraId="343D405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DAMA - Hoy </w:t>
            </w:r>
            <w:proofErr w:type="gramStart"/>
            <w:r>
              <w:rPr>
                <w:rFonts w:ascii="Times New Roman" w:hAnsi="Times New Roman"/>
                <w:color w:val="000000"/>
                <w:sz w:val="20"/>
                <w:lang w:eastAsia="es-CO"/>
              </w:rPr>
              <w:t>Secretaria</w:t>
            </w:r>
            <w:proofErr w:type="gramEnd"/>
            <w:r>
              <w:rPr>
                <w:rFonts w:ascii="Times New Roman" w:hAnsi="Times New Roman"/>
                <w:color w:val="000000"/>
                <w:sz w:val="20"/>
                <w:lang w:eastAsia="es-CO"/>
              </w:rPr>
              <w:t xml:space="preserve"> Distrital de Ambiente</w:t>
            </w:r>
          </w:p>
        </w:tc>
        <w:tc>
          <w:tcPr>
            <w:tcW w:w="1449" w:type="dxa"/>
            <w:tcBorders>
              <w:top w:val="nil"/>
              <w:left w:val="nil"/>
              <w:bottom w:val="single" w:sz="4" w:space="0" w:color="auto"/>
              <w:right w:val="single" w:sz="4" w:space="0" w:color="auto"/>
            </w:tcBorders>
            <w:noWrap/>
            <w:vAlign w:val="center"/>
            <w:hideMark/>
          </w:tcPr>
          <w:p w14:paraId="2CD917B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3893681" w14:textId="77777777" w:rsidTr="00981597">
        <w:trPr>
          <w:trHeight w:val="606"/>
          <w:jc w:val="center"/>
        </w:trPr>
        <w:tc>
          <w:tcPr>
            <w:tcW w:w="0" w:type="auto"/>
            <w:vMerge/>
            <w:tcBorders>
              <w:top w:val="nil"/>
              <w:left w:val="single" w:sz="4" w:space="0" w:color="auto"/>
              <w:bottom w:val="single" w:sz="4" w:space="0" w:color="auto"/>
              <w:right w:val="single" w:sz="4" w:space="0" w:color="auto"/>
            </w:tcBorders>
            <w:vAlign w:val="center"/>
            <w:hideMark/>
          </w:tcPr>
          <w:p w14:paraId="288FA00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8FB985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2004 "Por medio del cual se compilan las disposiciones contenidas en los Decretos Distritales 619 de 2000 y 469 de 2003. establecimiento del Plan de Ordenamiento Territorial"</w:t>
            </w:r>
          </w:p>
        </w:tc>
        <w:tc>
          <w:tcPr>
            <w:tcW w:w="1560" w:type="dxa"/>
            <w:tcBorders>
              <w:top w:val="nil"/>
              <w:left w:val="nil"/>
              <w:bottom w:val="single" w:sz="4" w:space="0" w:color="auto"/>
              <w:right w:val="single" w:sz="4" w:space="0" w:color="auto"/>
            </w:tcBorders>
            <w:noWrap/>
            <w:vAlign w:val="center"/>
            <w:hideMark/>
          </w:tcPr>
          <w:p w14:paraId="5710335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238EAC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354</w:t>
            </w:r>
          </w:p>
        </w:tc>
      </w:tr>
      <w:tr w:rsidR="00AC6C47" w14:paraId="7A431639"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31FCC58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931F37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456 de 2008 "Por el cual se reforma el Plan de Gestión Ambiental del Distrito Capital y se dictan otras disposiciones."</w:t>
            </w:r>
          </w:p>
        </w:tc>
        <w:tc>
          <w:tcPr>
            <w:tcW w:w="1560" w:type="dxa"/>
            <w:tcBorders>
              <w:top w:val="nil"/>
              <w:left w:val="nil"/>
              <w:bottom w:val="single" w:sz="4" w:space="0" w:color="auto"/>
              <w:right w:val="single" w:sz="4" w:space="0" w:color="auto"/>
            </w:tcBorders>
            <w:noWrap/>
            <w:vAlign w:val="center"/>
            <w:hideMark/>
          </w:tcPr>
          <w:p w14:paraId="1C5674B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3BC7C7A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 y 8</w:t>
            </w:r>
          </w:p>
        </w:tc>
      </w:tr>
      <w:tr w:rsidR="00AC6C47" w14:paraId="19478560"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7AB890A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591372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Decreto 190 de 2009 "Por medio del cual se modifica la estructura de la </w:t>
            </w:r>
            <w:proofErr w:type="gramStart"/>
            <w:r>
              <w:rPr>
                <w:rFonts w:ascii="Times New Roman" w:hAnsi="Times New Roman"/>
                <w:color w:val="000000"/>
                <w:sz w:val="20"/>
                <w:lang w:eastAsia="es-CO"/>
              </w:rPr>
              <w:t>Secretaria</w:t>
            </w:r>
            <w:proofErr w:type="gramEnd"/>
            <w:r>
              <w:rPr>
                <w:rFonts w:ascii="Times New Roman" w:hAnsi="Times New Roman"/>
                <w:color w:val="000000"/>
                <w:sz w:val="20"/>
                <w:lang w:eastAsia="es-CO"/>
              </w:rPr>
              <w:t xml:space="preserve"> Distrital de Ambiente"</w:t>
            </w:r>
          </w:p>
        </w:tc>
        <w:tc>
          <w:tcPr>
            <w:tcW w:w="1560" w:type="dxa"/>
            <w:tcBorders>
              <w:top w:val="nil"/>
              <w:left w:val="nil"/>
              <w:bottom w:val="single" w:sz="4" w:space="0" w:color="auto"/>
              <w:right w:val="single" w:sz="4" w:space="0" w:color="auto"/>
            </w:tcBorders>
            <w:noWrap/>
            <w:vAlign w:val="center"/>
            <w:hideMark/>
          </w:tcPr>
          <w:p w14:paraId="7EFD6B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5B0CE8B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20</w:t>
            </w:r>
          </w:p>
        </w:tc>
      </w:tr>
      <w:tr w:rsidR="00AC6C47" w14:paraId="174BC9BF" w14:textId="77777777" w:rsidTr="00981597">
        <w:trPr>
          <w:trHeight w:val="737"/>
          <w:jc w:val="center"/>
        </w:trPr>
        <w:tc>
          <w:tcPr>
            <w:tcW w:w="0" w:type="auto"/>
            <w:vMerge/>
            <w:tcBorders>
              <w:top w:val="nil"/>
              <w:left w:val="single" w:sz="4" w:space="0" w:color="auto"/>
              <w:bottom w:val="single" w:sz="4" w:space="0" w:color="auto"/>
              <w:right w:val="single" w:sz="4" w:space="0" w:color="auto"/>
            </w:tcBorders>
            <w:vAlign w:val="center"/>
            <w:hideMark/>
          </w:tcPr>
          <w:p w14:paraId="67D47AC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5D7637D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1168 de 2015 "Por medio de la cual se modifican parcialmente las Resoluciones del Sistema Integrado de Gestión de la Secretaría Distrital de Ambiente, y se toman otras determinaciones"</w:t>
            </w:r>
          </w:p>
        </w:tc>
        <w:tc>
          <w:tcPr>
            <w:tcW w:w="1560" w:type="dxa"/>
            <w:tcBorders>
              <w:top w:val="nil"/>
              <w:left w:val="nil"/>
              <w:bottom w:val="single" w:sz="4" w:space="0" w:color="auto"/>
              <w:right w:val="single" w:sz="4" w:space="0" w:color="auto"/>
            </w:tcBorders>
            <w:noWrap/>
            <w:vAlign w:val="center"/>
            <w:hideMark/>
          </w:tcPr>
          <w:p w14:paraId="1B4A463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Secretaria Distrital de Ambiente</w:t>
            </w:r>
          </w:p>
        </w:tc>
        <w:tc>
          <w:tcPr>
            <w:tcW w:w="1449" w:type="dxa"/>
            <w:tcBorders>
              <w:top w:val="nil"/>
              <w:left w:val="nil"/>
              <w:bottom w:val="single" w:sz="4" w:space="0" w:color="auto"/>
              <w:right w:val="single" w:sz="4" w:space="0" w:color="auto"/>
            </w:tcBorders>
            <w:noWrap/>
            <w:vAlign w:val="center"/>
            <w:hideMark/>
          </w:tcPr>
          <w:p w14:paraId="0B74B4E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Anexo 4.</w:t>
            </w:r>
          </w:p>
        </w:tc>
      </w:tr>
    </w:tbl>
    <w:bookmarkEnd w:id="13"/>
    <w:p w14:paraId="51876C18" w14:textId="77777777" w:rsidR="00AC6C47" w:rsidRDefault="00AC6C47" w:rsidP="00AC6C47">
      <w:pPr>
        <w:jc w:val="center"/>
        <w:rPr>
          <w:rFonts w:ascii="Times New Roman" w:hAnsi="Times New Roman"/>
          <w:bCs/>
          <w:iCs/>
          <w:sz w:val="22"/>
          <w:szCs w:val="22"/>
          <w:lang w:eastAsia="es-CO"/>
        </w:rPr>
      </w:pPr>
      <w:r>
        <w:rPr>
          <w:rFonts w:ascii="Times New Roman" w:hAnsi="Times New Roman"/>
          <w:bCs/>
          <w:iCs/>
          <w:sz w:val="22"/>
          <w:szCs w:val="22"/>
          <w:lang w:eastAsia="es-CO"/>
        </w:rPr>
        <w:t>Fuentes: SDA 2020</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14" w:name="_Hlk41412131"/>
      <w:r w:rsidRPr="007E11DE">
        <w:rPr>
          <w:rFonts w:ascii="Times New Roman" w:hAnsi="Times New Roman"/>
          <w:b/>
          <w:color w:val="000000"/>
          <w:sz w:val="28"/>
          <w:szCs w:val="22"/>
        </w:rPr>
        <w:t>Aspectos técnicos:</w:t>
      </w:r>
    </w:p>
    <w:p w14:paraId="703549CE" w14:textId="77777777" w:rsidR="00F550E3" w:rsidRPr="0018003D" w:rsidRDefault="00F550E3">
      <w:pPr>
        <w:rPr>
          <w:rFonts w:ascii="Times New Roman" w:hAnsi="Times New Roman"/>
          <w:sz w:val="22"/>
          <w:szCs w:val="22"/>
        </w:rPr>
      </w:pPr>
    </w:p>
    <w:p w14:paraId="6FC8FFC5"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Para el desarrollo de la alternativa seleccionada, y la generación de los productos establecidos: i) inventario de predios con suelos degradados, sitios contaminados y pasivos ambientales y ii) modelo conceptual de captura de información sobre características del suelo en sitios con </w:t>
      </w:r>
      <w:r>
        <w:rPr>
          <w:rFonts w:ascii="Times New Roman" w:hAnsi="Times New Roman"/>
          <w:iCs/>
          <w:color w:val="000000" w:themeColor="text1"/>
          <w:szCs w:val="24"/>
        </w:rPr>
        <w:lastRenderedPageBreak/>
        <w:t>afectación (potencial y configurada) al suelo y/o agua subterránea del acuífero somero, se deben contemplar los siguientes aspectos técnicos:</w:t>
      </w:r>
    </w:p>
    <w:p w14:paraId="0D09204E" w14:textId="77777777" w:rsidR="00AC6C47" w:rsidRDefault="00AC6C47" w:rsidP="00AC6C47">
      <w:pPr>
        <w:jc w:val="left"/>
        <w:rPr>
          <w:rFonts w:ascii="Times New Roman" w:hAnsi="Times New Roman"/>
          <w:iCs/>
          <w:color w:val="000000" w:themeColor="text1"/>
          <w:sz w:val="22"/>
        </w:rPr>
      </w:pPr>
    </w:p>
    <w:p w14:paraId="32290E01" w14:textId="77777777" w:rsidR="00AC6C47" w:rsidRDefault="00AC6C47" w:rsidP="00AC6C47">
      <w:pPr>
        <w:jc w:val="left"/>
        <w:rPr>
          <w:rFonts w:ascii="Times New Roman" w:hAnsi="Times New Roman"/>
          <w:b/>
          <w:bCs/>
          <w:iCs/>
          <w:color w:val="000000" w:themeColor="text1"/>
          <w:sz w:val="22"/>
        </w:rPr>
      </w:pPr>
      <w:r>
        <w:rPr>
          <w:rFonts w:ascii="Times New Roman" w:hAnsi="Times New Roman"/>
          <w:b/>
          <w:bCs/>
          <w:iCs/>
          <w:color w:val="000000" w:themeColor="text1"/>
          <w:sz w:val="22"/>
        </w:rPr>
        <w:t>Contaminación de suelos y agua subterránea del acuífero somero:</w:t>
      </w:r>
    </w:p>
    <w:p w14:paraId="6C0B02A5" w14:textId="77777777" w:rsidR="00AC6C47" w:rsidRDefault="00AC6C47" w:rsidP="00AC6C47">
      <w:pPr>
        <w:jc w:val="left"/>
        <w:rPr>
          <w:rFonts w:ascii="Times New Roman" w:hAnsi="Times New Roman"/>
          <w:iCs/>
          <w:color w:val="000000" w:themeColor="text1"/>
          <w:sz w:val="22"/>
        </w:rPr>
      </w:pPr>
    </w:p>
    <w:p w14:paraId="7D715C50"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Se debe tener en cuenta que debido a la ausencia de normatividad especifica en materia de suelos contaminados y pasivos ambientales, se acude a normativa del orden constitucional y a legislación del orden y protección de recursos naturales (Ley 2811 de 1974 y Ley 99 de 1993), normatividad especifica en manejo de estaciones de servicio (Resolución 1170 de 1997) e instrumentos ambientales de restauración y recuperación en predios con extracción de minerales (Resolución 2001 de 2016, modificada por la resolución 1499 de 2018), y la homologación de estándares técnicos internacionales (Manual Técnico para la Ejecución de Análisis de Riesgos MTEAR y Análisis de riesgo en suelos contaminados RBCA) y de calidad de suelo para dar una línea al cumplimiento de parámetros ambientales. De esta manera se establecen actividades de evaluación control y vigilancia, de acuerdo con las competencias jurídicas de la entidad ambiental establecen lineamientos para la ejecución de estudios y análisis que garanticen niveles sanitarios y ambientales de sustancias que impactan el recurso suelo y los acuíferos subsuperficiales que potencian vías de exposición y riesgos asociados a la expansión de la afectación.</w:t>
      </w:r>
    </w:p>
    <w:p w14:paraId="00EF6A51" w14:textId="77777777" w:rsidR="00AC6C47" w:rsidRDefault="00AC6C47" w:rsidP="00AC6C47">
      <w:pPr>
        <w:jc w:val="left"/>
        <w:rPr>
          <w:rFonts w:ascii="Times New Roman" w:hAnsi="Times New Roman"/>
          <w:iCs/>
          <w:color w:val="000000" w:themeColor="text1"/>
          <w:szCs w:val="24"/>
        </w:rPr>
      </w:pPr>
    </w:p>
    <w:p w14:paraId="7BCE65A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Almacenamiento y distribución de combustibles:</w:t>
      </w:r>
    </w:p>
    <w:p w14:paraId="381E119B" w14:textId="77777777" w:rsidR="00AC6C47" w:rsidRDefault="00AC6C47" w:rsidP="00AC6C47">
      <w:pPr>
        <w:jc w:val="left"/>
        <w:rPr>
          <w:rFonts w:ascii="Times New Roman" w:hAnsi="Times New Roman"/>
          <w:iCs/>
          <w:color w:val="000000" w:themeColor="text1"/>
          <w:szCs w:val="24"/>
        </w:rPr>
      </w:pPr>
    </w:p>
    <w:p w14:paraId="74964232"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Debido a las prácticas de almacenamiento subterráneo de combustibles en las actividades de almacenamiento y distribución de combustibles para reducir los riesgos ocupacionales, y en el ejercicio de la distribución pública de combustible, se aumenta el riesgo de afectación en el recurso suelo y al  acuífero somero, por lo cual se ha establecido una normativa local (Resolución 1170 de 1997), como estrategia para contar con herramientas de control ambiental basadas en lineamientos técnicos proporcionados por el Ministerio de Ambiente y Desarrollo Sostenible (Guía ambiental para estaciones de Servicio Adoptada en la Resolución 1023 de 2005) y los componentes técnicos que garanticen una operación adecuada de combustibles por parte del Ministerio de Minas y energía (Decreto 1073 de 2015 y Resoluciones 31348 del 2015 y 40278 de 2017). </w:t>
      </w:r>
    </w:p>
    <w:p w14:paraId="43765EAB" w14:textId="77777777" w:rsidR="00AC6C47" w:rsidRDefault="00AC6C47" w:rsidP="00AC6C47">
      <w:pPr>
        <w:rPr>
          <w:rFonts w:ascii="Times New Roman" w:hAnsi="Times New Roman"/>
          <w:iCs/>
          <w:color w:val="000000" w:themeColor="text1"/>
          <w:szCs w:val="24"/>
        </w:rPr>
      </w:pPr>
    </w:p>
    <w:p w14:paraId="2F1A8C2E"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Adicionalmente como instrumento de prevención y control de eventos de derrame, se vigila que los establecimientos cuenten con un plan de contingencia para derrame de hidrocarburos acorde a la Resolución 321 de 199 y con la obligatoriedad establecida en el artículo 7 del Decreto 50 del 2018. Estos planes de contingencia para derrames de hidrocarburos cuentan a la vez con los lineamientos distritales que se establecen en el anexo 4 de la Resolución 1168 de 2015.</w:t>
      </w:r>
    </w:p>
    <w:p w14:paraId="2880942F" w14:textId="77777777" w:rsidR="00AC6C47" w:rsidRDefault="00AC6C47" w:rsidP="00AC6C47">
      <w:pPr>
        <w:jc w:val="left"/>
        <w:rPr>
          <w:rFonts w:ascii="Times New Roman" w:hAnsi="Times New Roman"/>
          <w:iCs/>
          <w:color w:val="000000" w:themeColor="text1"/>
          <w:szCs w:val="24"/>
        </w:rPr>
      </w:pPr>
    </w:p>
    <w:p w14:paraId="67C18FE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Explotación de minerales:</w:t>
      </w:r>
    </w:p>
    <w:p w14:paraId="07B9D5E1" w14:textId="77777777" w:rsidR="00AC6C47" w:rsidRDefault="00AC6C47" w:rsidP="00AC6C47">
      <w:pPr>
        <w:jc w:val="left"/>
        <w:rPr>
          <w:rFonts w:ascii="Times New Roman" w:hAnsi="Times New Roman"/>
          <w:b/>
          <w:bCs/>
          <w:iCs/>
          <w:color w:val="000000" w:themeColor="text1"/>
          <w:szCs w:val="24"/>
        </w:rPr>
      </w:pPr>
    </w:p>
    <w:p w14:paraId="7F4EC71E"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La explotación de minerales en la Sabana de Bogotá, se ha venido realizando sin la solicitud de títulos mineros ni permisos ambientales adecuados, toda vez que la expedición de normatividad especifica data de inicio del Siglo XXI,  La ley 685 del 2001 (Código de Minas) y las disposiciones de Decreto 190 de 2004 (Plan de Ordenamiento Territorial), han permitido que la generación de control ambiental en predios en los que se desarrolló la actividad minera sin condiciones ambientales definidas, de manera que se puedan establecer parámetros de recuperación y restauración con mayor soporte legislativo a través de las lineamientos del Ministerio de Minas y Energía (Resolución 2001 de 2016, modificada por la resolución 1499 de </w:t>
      </w:r>
      <w:r>
        <w:rPr>
          <w:rFonts w:ascii="Times New Roman" w:hAnsi="Times New Roman"/>
          <w:iCs/>
          <w:color w:val="000000" w:themeColor="text1"/>
          <w:szCs w:val="24"/>
        </w:rPr>
        <w:lastRenderedPageBreak/>
        <w:t xml:space="preserve">2018). De esta manera la Secretaria Distrital de Ambienta ha venido fortaleciendo las actividades de control en predios mineros y las actividades de evaluación y seguimiento a instrumentos de restauración y recuperación necesarios para mitigar la degradación del suelo y la inhabilitación de estación con asentamientos urbanos, por lo cual es importante seguir esta ruta de fortalecimiento evaluación control y seguimiento ambiental </w:t>
      </w:r>
      <w:r w:rsidRPr="00AC6C47">
        <w:rPr>
          <w:rFonts w:ascii="Times New Roman" w:hAnsi="Times New Roman"/>
          <w:iCs/>
          <w:color w:val="000000" w:themeColor="text1"/>
          <w:szCs w:val="24"/>
        </w:rPr>
        <w:t>en el desarrollo de las políticas públicas de ambiente sano para los bogotanos.</w:t>
      </w:r>
    </w:p>
    <w:p w14:paraId="0C39B473" w14:textId="77777777" w:rsidR="00AC6C47" w:rsidRPr="00AC6C47" w:rsidRDefault="00AC6C47" w:rsidP="00AC6C47">
      <w:pPr>
        <w:rPr>
          <w:rFonts w:ascii="Times New Roman" w:hAnsi="Times New Roman"/>
          <w:iCs/>
          <w:color w:val="000000" w:themeColor="text1"/>
          <w:szCs w:val="24"/>
        </w:rPr>
      </w:pPr>
    </w:p>
    <w:p w14:paraId="1CCC5EA5" w14:textId="271842B1" w:rsidR="00AC6C47" w:rsidRDefault="00AC6C47" w:rsidP="00AC6C47">
      <w:pPr>
        <w:rPr>
          <w:rFonts w:ascii="Times New Roman" w:hAnsi="Times New Roman"/>
          <w:iCs/>
          <w:color w:val="000000" w:themeColor="text1"/>
          <w:szCs w:val="24"/>
          <w:u w:val="single"/>
        </w:rPr>
      </w:pPr>
      <w:r w:rsidRPr="00AC6C47">
        <w:rPr>
          <w:rFonts w:ascii="Times New Roman" w:hAnsi="Times New Roman"/>
          <w:iCs/>
          <w:color w:val="000000" w:themeColor="text1"/>
          <w:szCs w:val="24"/>
          <w:u w:val="single"/>
        </w:rPr>
        <w:t>La planeación realizada conforma a la línea base evidencia 218 predios con extracción minera, que de acuerdo a su misionalidad requieren control y seguimiento anual, se reportaran de acuerdo a los establecido en la columna E “REPORTE DE ANUALIDAD”, en el archivo de soporte BASE DE DATOS CORRIENTE SUELO.xlsx.</w:t>
      </w:r>
      <w:r>
        <w:rPr>
          <w:rFonts w:ascii="Times New Roman" w:hAnsi="Times New Roman"/>
          <w:iCs/>
          <w:color w:val="000000" w:themeColor="text1"/>
          <w:szCs w:val="24"/>
          <w:u w:val="single"/>
        </w:rPr>
        <w:t xml:space="preserve"> </w:t>
      </w:r>
    </w:p>
    <w:p w14:paraId="68C34DD9" w14:textId="278E7DF6" w:rsidR="00AC6C47" w:rsidRDefault="00AC6C47" w:rsidP="00AC6C47">
      <w:pPr>
        <w:rPr>
          <w:rFonts w:ascii="Times New Roman" w:hAnsi="Times New Roman"/>
          <w:iCs/>
          <w:color w:val="000000" w:themeColor="text1"/>
          <w:szCs w:val="24"/>
          <w:u w:val="single"/>
        </w:rPr>
      </w:pPr>
    </w:p>
    <w:p w14:paraId="62F60FD6"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Tramites sancionatorios</w:t>
      </w:r>
    </w:p>
    <w:p w14:paraId="14CA6DDF" w14:textId="77777777" w:rsidR="00AC6C47" w:rsidRDefault="00AC6C47" w:rsidP="00AC6C47">
      <w:pPr>
        <w:jc w:val="left"/>
        <w:rPr>
          <w:rFonts w:ascii="Times New Roman" w:hAnsi="Times New Roman"/>
          <w:iCs/>
          <w:color w:val="000000" w:themeColor="text1"/>
          <w:szCs w:val="24"/>
        </w:rPr>
      </w:pPr>
    </w:p>
    <w:p w14:paraId="34E5B16B"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A través de la Ley 1333/2009 se fortaleció la competencia de las entidades ambientales para la generación de sanciones a infractores de normatividad ambiental y a usuarios de suelo que generarán riesgo o afectación al mismo, sin embargo, es importante generar un </w:t>
      </w:r>
      <w:r w:rsidRPr="00AC6C47">
        <w:rPr>
          <w:rFonts w:ascii="Times New Roman" w:hAnsi="Times New Roman"/>
          <w:iCs/>
          <w:color w:val="000000" w:themeColor="text1"/>
          <w:szCs w:val="24"/>
        </w:rPr>
        <w:t xml:space="preserve">fortalecimiento que visibilice a la </w:t>
      </w:r>
      <w:proofErr w:type="gramStart"/>
      <w:r w:rsidRPr="00AC6C47">
        <w:rPr>
          <w:rFonts w:ascii="Times New Roman" w:hAnsi="Times New Roman"/>
          <w:iCs/>
          <w:color w:val="000000" w:themeColor="text1"/>
          <w:szCs w:val="24"/>
        </w:rPr>
        <w:t>Secretaria</w:t>
      </w:r>
      <w:proofErr w:type="gramEnd"/>
      <w:r w:rsidRPr="00AC6C47">
        <w:rPr>
          <w:rFonts w:ascii="Times New Roman" w:hAnsi="Times New Roman"/>
          <w:iCs/>
          <w:color w:val="000000" w:themeColor="text1"/>
          <w:szCs w:val="24"/>
        </w:rPr>
        <w:t xml:space="preserve"> Distrital de Ambiente como entidad de control ambiental y de protección de los derechos básicos de ambiente sano de los habitantes del Distrito.</w:t>
      </w:r>
    </w:p>
    <w:p w14:paraId="6AD4328E" w14:textId="77777777" w:rsidR="00AC6C47" w:rsidRPr="00AC6C47" w:rsidRDefault="00AC6C47" w:rsidP="00AC6C47">
      <w:pPr>
        <w:rPr>
          <w:rFonts w:ascii="Times New Roman" w:hAnsi="Times New Roman"/>
          <w:iCs/>
          <w:color w:val="000000" w:themeColor="text1"/>
          <w:szCs w:val="24"/>
        </w:rPr>
      </w:pPr>
    </w:p>
    <w:p w14:paraId="69A465D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el marco de la ejecución del proceso de Evaluación, Control y Seguimiento de la </w:t>
      </w:r>
      <w:proofErr w:type="gramStart"/>
      <w:r w:rsidRPr="00AC6C47">
        <w:rPr>
          <w:rFonts w:ascii="Times New Roman" w:hAnsi="Times New Roman"/>
          <w:iCs/>
          <w:color w:val="000000" w:themeColor="text1"/>
          <w:szCs w:val="24"/>
        </w:rPr>
        <w:t>Secretaria</w:t>
      </w:r>
      <w:proofErr w:type="gramEnd"/>
      <w:r w:rsidRPr="00AC6C47">
        <w:rPr>
          <w:rFonts w:ascii="Times New Roman" w:hAnsi="Times New Roman"/>
          <w:iCs/>
          <w:color w:val="000000" w:themeColor="text1"/>
          <w:szCs w:val="24"/>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2E5189E" w14:textId="77777777" w:rsidR="00AC6C47" w:rsidRPr="00AC6C47" w:rsidRDefault="00AC6C47" w:rsidP="00AC6C47">
      <w:pPr>
        <w:rPr>
          <w:rFonts w:ascii="Times New Roman" w:hAnsi="Times New Roman"/>
          <w:iCs/>
          <w:color w:val="000000" w:themeColor="text1"/>
          <w:szCs w:val="24"/>
        </w:rPr>
      </w:pPr>
    </w:p>
    <w:p w14:paraId="09EE41D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1461744F" w14:textId="77777777" w:rsidR="00AC6C47" w:rsidRPr="00AC6C47" w:rsidRDefault="00AC6C47" w:rsidP="00AC6C47">
      <w:pPr>
        <w:rPr>
          <w:rFonts w:ascii="Times New Roman" w:hAnsi="Times New Roman"/>
          <w:iCs/>
          <w:color w:val="000000" w:themeColor="text1"/>
          <w:szCs w:val="24"/>
        </w:rPr>
      </w:pPr>
    </w:p>
    <w:p w14:paraId="79B7B6F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Inicio sancionatorio</w:t>
      </w:r>
    </w:p>
    <w:p w14:paraId="17F216E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Formulación de cargos</w:t>
      </w:r>
    </w:p>
    <w:p w14:paraId="3D64EC7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Practica de pruebas</w:t>
      </w:r>
    </w:p>
    <w:p w14:paraId="63D15212"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Indagación preliminar</w:t>
      </w:r>
    </w:p>
    <w:p w14:paraId="7046747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Imposición de medida preventiva. </w:t>
      </w:r>
    </w:p>
    <w:p w14:paraId="59F024EB"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Legalización de medida preventiva</w:t>
      </w:r>
    </w:p>
    <w:p w14:paraId="6CC5441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Levantamiento de medida preventiva.</w:t>
      </w:r>
    </w:p>
    <w:p w14:paraId="66D1A501" w14:textId="77777777" w:rsidR="00AC6C47" w:rsidRPr="00AC6C47" w:rsidRDefault="00AC6C47" w:rsidP="00AC6C47">
      <w:pPr>
        <w:rPr>
          <w:rFonts w:ascii="Times New Roman" w:hAnsi="Times New Roman"/>
          <w:iCs/>
          <w:color w:val="000000" w:themeColor="text1"/>
          <w:szCs w:val="24"/>
        </w:rPr>
      </w:pPr>
    </w:p>
    <w:p w14:paraId="13B40D61"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Posterior al desarrollo de las actuaciones administrativas se obtiene como resultado de estas la suscripción de los actos administrativos que declaran:</w:t>
      </w:r>
    </w:p>
    <w:p w14:paraId="7D71F8EF" w14:textId="77777777" w:rsidR="00AC6C47" w:rsidRPr="00AC6C47" w:rsidRDefault="00AC6C47" w:rsidP="00AC6C47">
      <w:pPr>
        <w:rPr>
          <w:rFonts w:ascii="Times New Roman" w:hAnsi="Times New Roman"/>
          <w:iCs/>
          <w:color w:val="000000" w:themeColor="text1"/>
          <w:szCs w:val="24"/>
        </w:rPr>
      </w:pPr>
    </w:p>
    <w:p w14:paraId="1867D998"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Caducidad</w:t>
      </w:r>
    </w:p>
    <w:p w14:paraId="63135DE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Cesación</w:t>
      </w:r>
    </w:p>
    <w:p w14:paraId="790758C3"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Resuelve proceso sancionatorio </w:t>
      </w:r>
    </w:p>
    <w:p w14:paraId="29E520DC"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Resuelve recurso</w:t>
      </w:r>
    </w:p>
    <w:p w14:paraId="562A60A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Declaran la pérdida de fuerza ejecutoria</w:t>
      </w:r>
    </w:p>
    <w:p w14:paraId="32CBB50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lastRenderedPageBreak/>
        <w:t>•</w:t>
      </w:r>
      <w:r w:rsidRPr="00AC6C47">
        <w:rPr>
          <w:rFonts w:ascii="Times New Roman" w:hAnsi="Times New Roman"/>
          <w:iCs/>
          <w:color w:val="000000" w:themeColor="text1"/>
          <w:szCs w:val="24"/>
        </w:rPr>
        <w:tab/>
        <w:t>Ordenan el archivo de un proceso sancionatorio ambiental.</w:t>
      </w:r>
    </w:p>
    <w:p w14:paraId="4BEB86E8" w14:textId="77777777" w:rsidR="00AC6C47" w:rsidRPr="00AC6C47" w:rsidRDefault="00AC6C47" w:rsidP="00AC6C47">
      <w:pPr>
        <w:rPr>
          <w:rFonts w:ascii="Times New Roman" w:hAnsi="Times New Roman"/>
          <w:iCs/>
          <w:color w:val="000000" w:themeColor="text1"/>
          <w:szCs w:val="24"/>
        </w:rPr>
      </w:pPr>
    </w:p>
    <w:p w14:paraId="25A35E2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0760D3C5" w14:textId="77777777" w:rsidR="00AC6C47" w:rsidRPr="00AC6C47" w:rsidRDefault="00AC6C47" w:rsidP="00AC6C47">
      <w:pPr>
        <w:rPr>
          <w:rFonts w:ascii="Times New Roman" w:hAnsi="Times New Roman"/>
          <w:iCs/>
          <w:color w:val="000000" w:themeColor="text1"/>
          <w:szCs w:val="24"/>
        </w:rPr>
      </w:pPr>
    </w:p>
    <w:p w14:paraId="28A8E3D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consideración a lo anteriormente </w:t>
      </w:r>
      <w:proofErr w:type="gramStart"/>
      <w:r w:rsidRPr="00AC6C47">
        <w:rPr>
          <w:rFonts w:ascii="Times New Roman" w:hAnsi="Times New Roman"/>
          <w:iCs/>
          <w:color w:val="000000" w:themeColor="text1"/>
          <w:szCs w:val="24"/>
        </w:rPr>
        <w:t>planteado  la</w:t>
      </w:r>
      <w:proofErr w:type="gramEnd"/>
      <w:r w:rsidRPr="00AC6C47">
        <w:rPr>
          <w:rFonts w:ascii="Times New Roman" w:hAnsi="Times New Roman"/>
          <w:iCs/>
          <w:color w:val="000000" w:themeColor="text1"/>
          <w:szCs w:val="24"/>
        </w:rPr>
        <w:t xml:space="preserve">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w:t>
      </w:r>
    </w:p>
    <w:p w14:paraId="723A7112" w14:textId="77777777" w:rsidR="00AC6C47" w:rsidRPr="00AC6C47" w:rsidRDefault="00AC6C47" w:rsidP="00AC6C47">
      <w:pPr>
        <w:rPr>
          <w:rFonts w:ascii="Times New Roman" w:hAnsi="Times New Roman"/>
          <w:iCs/>
          <w:color w:val="000000" w:themeColor="text1"/>
          <w:szCs w:val="24"/>
        </w:rPr>
      </w:pPr>
    </w:p>
    <w:p w14:paraId="4710ACE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w:t>
      </w:r>
      <w:proofErr w:type="gramStart"/>
      <w:r w:rsidRPr="00AC6C47">
        <w:rPr>
          <w:rFonts w:ascii="Times New Roman" w:hAnsi="Times New Roman"/>
          <w:iCs/>
          <w:color w:val="000000" w:themeColor="text1"/>
          <w:szCs w:val="24"/>
        </w:rPr>
        <w:t>la  notificación</w:t>
      </w:r>
      <w:proofErr w:type="gramEnd"/>
      <w:r w:rsidRPr="00AC6C47">
        <w:rPr>
          <w:rFonts w:ascii="Times New Roman" w:hAnsi="Times New Roman"/>
          <w:iCs/>
          <w:color w:val="000000" w:themeColor="text1"/>
          <w:szCs w:val="24"/>
        </w:rPr>
        <w:t xml:space="preserve">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5C72E27" w14:textId="77777777" w:rsidR="00AC6C47" w:rsidRPr="00AC6C47" w:rsidRDefault="00AC6C47" w:rsidP="00AC6C47">
      <w:pPr>
        <w:rPr>
          <w:rFonts w:ascii="Times New Roman" w:hAnsi="Times New Roman"/>
          <w:iCs/>
          <w:color w:val="000000" w:themeColor="text1"/>
          <w:szCs w:val="24"/>
        </w:rPr>
      </w:pPr>
    </w:p>
    <w:p w14:paraId="25428C8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14C76C" w14:textId="77777777" w:rsidR="00AC6C47" w:rsidRPr="00AC6C47" w:rsidRDefault="00AC6C47" w:rsidP="00AC6C47">
      <w:pPr>
        <w:rPr>
          <w:rFonts w:ascii="Times New Roman" w:hAnsi="Times New Roman"/>
          <w:iCs/>
          <w:color w:val="000000" w:themeColor="text1"/>
          <w:szCs w:val="24"/>
        </w:rPr>
      </w:pPr>
    </w:p>
    <w:p w14:paraId="09332133" w14:textId="77777777" w:rsid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833A058" w14:textId="77777777" w:rsidR="008F5CB6" w:rsidRPr="007E11DE" w:rsidRDefault="008F5CB6" w:rsidP="008F5CB6">
      <w:pPr>
        <w:rPr>
          <w:rFonts w:ascii="Times New Roman" w:hAnsi="Times New Roman"/>
          <w:sz w:val="28"/>
          <w:szCs w:val="22"/>
        </w:rPr>
      </w:pPr>
    </w:p>
    <w:bookmarkEnd w:id="14"/>
    <w:p w14:paraId="6A29AF39" w14:textId="38A0B5E8"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5E72F7BF"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Identificación de predios con suelos degradados o sitios contaminados:</w:t>
      </w:r>
      <w:r>
        <w:rPr>
          <w:rFonts w:ascii="Times New Roman" w:hAnsi="Times New Roman"/>
          <w:iCs/>
          <w:color w:val="000000" w:themeColor="text1"/>
          <w:szCs w:val="24"/>
        </w:rPr>
        <w:t xml:space="preserve"> Para toda Autoridad Ambiental es necesario conocer el universo de los predios sobre los cuales debe desarrollar acciones de control y vigilancia, así las cosas, en lo que se refiere a sitios contaminados, suelos degradados y pasivos ambientales la identificación es prioritaria ya que se deben emprender acciones que busquen que los responsables de la afectación negativa de los recursos suelo y agua subterránea del acuífero somero desarrollen las actividades que sean necesarias para diagnosticar, investigar, remediar, restaurar o rehabilitar según sea el caso el impacto negativo generado.</w:t>
      </w:r>
    </w:p>
    <w:p w14:paraId="7B974B3A" w14:textId="77777777" w:rsidR="00022E3E" w:rsidRDefault="00022E3E" w:rsidP="00022E3E">
      <w:pPr>
        <w:rPr>
          <w:rFonts w:ascii="Times New Roman" w:hAnsi="Times New Roman"/>
          <w:iCs/>
          <w:color w:val="000000" w:themeColor="text1"/>
          <w:szCs w:val="24"/>
        </w:rPr>
      </w:pPr>
    </w:p>
    <w:p w14:paraId="762DDF09"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lastRenderedPageBreak/>
        <w:t xml:space="preserve">Remediación de suelo y  agua subterránea del acuífero somero: </w:t>
      </w:r>
      <w:r>
        <w:rPr>
          <w:rFonts w:ascii="Times New Roman" w:hAnsi="Times New Roman"/>
          <w:iCs/>
          <w:color w:val="000000" w:themeColor="text1"/>
          <w:szCs w:val="24"/>
        </w:rPr>
        <w:t>Los sitios contaminados se asocian con aquellos predios catastrales donde antiguamente se desarrolló una actividad industrial o de servicios que por sus inadecuadas prácticas de manejo de materiales peligrosos o por accidentes asociados a su proceso productivo, generaron en las matrices suelo y agua subterránea del acuífero somero una contaminación con  sustancias químicas de origen antrópico en concentraciones tal que representan un riesgo ambiental y de salud pública, así las cosas, la gestión de los sitios contaminados en una de sus últimas etapas contempla la remediación de las áreas afectadas de manera que se alcancen concentraciones de sustancias en niveles de riesgo "aceptables" que soporten una habilitación de suelo, un cambio de uso, un desarrollo urbanístico que implique modificaciones estructurales sin que ello implique la afectación en la salud pública de los receptores sensibles en el predio o su área aferente o el aumento de la afectación en las matrices ambientales.</w:t>
      </w:r>
    </w:p>
    <w:p w14:paraId="58D25CEC" w14:textId="77777777" w:rsidR="00022E3E" w:rsidRDefault="00022E3E" w:rsidP="00022E3E">
      <w:pPr>
        <w:rPr>
          <w:rFonts w:ascii="Times New Roman" w:hAnsi="Times New Roman"/>
          <w:iCs/>
          <w:color w:val="000000" w:themeColor="text1"/>
          <w:szCs w:val="24"/>
        </w:rPr>
      </w:pPr>
    </w:p>
    <w:p w14:paraId="19439EEE"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 xml:space="preserve">Diminución de la probabilidad de afectación al suelo y agua subterránea del acuífero somero: </w:t>
      </w:r>
      <w:r>
        <w:rPr>
          <w:rFonts w:ascii="Times New Roman" w:hAnsi="Times New Roman"/>
          <w:iCs/>
          <w:color w:val="000000" w:themeColor="text1"/>
          <w:szCs w:val="24"/>
        </w:rPr>
        <w:t>En el ejercicio de comando y control propio de la Autoridad Ambiental y en cumplimiento de sus funciones, la Secretaria Distrital de Ambiente ha identificado  dos sectores productivos que  tienen un potencial alto de afectación de los recursos suelo y agua subterránea del acuífero somero como consecuencia de las características propias de su actividad,  ya que tienen una condición dinámica que puede fluctuar fácilmente, se trata del sector de almacenamiento y distribución de hidrocarburos y sus derivados; y de la actividad extractiva de materiales de construcción y arcilla, sendas operaciones  tienen una alta probabilidad de afectar las características del suelo y recursos asociados, es así que al realizar acciones  control a predios catastrales identificados  asociados estás actividades y al verificar y requerir el cumplimiento cabal de la normativa ambiental vigente se está disminuyendo sustancialmente la probabilidad de afectación al suelo y agua subterránea del acuífero somero y con esto evitando una mayor área de suelos degradados o contaminados .</w:t>
      </w:r>
    </w:p>
    <w:p w14:paraId="5234D817" w14:textId="77777777" w:rsidR="00022E3E" w:rsidRDefault="00022E3E" w:rsidP="00022E3E">
      <w:pPr>
        <w:rPr>
          <w:rFonts w:ascii="Times New Roman" w:hAnsi="Times New Roman"/>
          <w:iCs/>
          <w:color w:val="000000" w:themeColor="text1"/>
          <w:szCs w:val="24"/>
        </w:rPr>
      </w:pPr>
    </w:p>
    <w:p w14:paraId="5052DD12" w14:textId="77777777" w:rsidR="00022E3E" w:rsidRDefault="00022E3E" w:rsidP="00022E3E">
      <w:pPr>
        <w:rPr>
          <w:rFonts w:ascii="Times New Roman" w:hAnsi="Times New Roman"/>
          <w:b/>
          <w:bCs/>
          <w:iCs/>
          <w:color w:val="000000" w:themeColor="text1"/>
          <w:szCs w:val="24"/>
        </w:rPr>
      </w:pPr>
      <w:r>
        <w:rPr>
          <w:rFonts w:ascii="Times New Roman" w:hAnsi="Times New Roman"/>
          <w:b/>
          <w:bCs/>
          <w:iCs/>
          <w:color w:val="000000" w:themeColor="text1"/>
          <w:szCs w:val="24"/>
        </w:rPr>
        <w:t xml:space="preserve">Restauración y rehabilitación del suelo afectado por actividad extractiva de minerales: </w:t>
      </w:r>
      <w:r>
        <w:rPr>
          <w:rFonts w:ascii="Times New Roman" w:hAnsi="Times New Roman"/>
          <w:iCs/>
          <w:color w:val="000000" w:themeColor="text1"/>
          <w:szCs w:val="24"/>
        </w:rPr>
        <w:t>Al identificarse un predio con suelos degradados por antigua actividad extractiva de minerales la autoridad ambiental realiza un  requerimiento formal a los propietarios en relación a la necesidad de desarrollar actividades para su  restauración y rehabilitación,  en aras de evitar la constitución de riesgos inherentes a las condiciones del suelo, y así impactos negativos tales como: fenómenos de remoción en masa, asentamientos en zonas de alto riesgo, impactos paisajísticos, perdida de cobertura vegetal, reasentamiento de material particulado entre otros.</w:t>
      </w:r>
    </w:p>
    <w:p w14:paraId="15F7D8E7" w14:textId="77777777" w:rsidR="00022E3E" w:rsidRDefault="00022E3E" w:rsidP="00022E3E">
      <w:pPr>
        <w:rPr>
          <w:rFonts w:ascii="Times New Roman" w:hAnsi="Times New Roman"/>
          <w:b/>
          <w:bCs/>
          <w:iCs/>
          <w:color w:val="000000" w:themeColor="text1"/>
          <w:szCs w:val="24"/>
        </w:rPr>
      </w:pPr>
    </w:p>
    <w:p w14:paraId="6048D5D5" w14:textId="77777777" w:rsidR="00022E3E" w:rsidRDefault="00022E3E" w:rsidP="00022E3E">
      <w:pPr>
        <w:rPr>
          <w:rFonts w:ascii="Times New Roman" w:hAnsi="Times New Roman"/>
          <w:b/>
          <w:bCs/>
          <w:iCs/>
          <w:color w:val="000000" w:themeColor="text1"/>
          <w:szCs w:val="24"/>
          <w:highlight w:val="yellow"/>
        </w:rPr>
      </w:pPr>
      <w:r>
        <w:rPr>
          <w:rFonts w:ascii="Times New Roman" w:hAnsi="Times New Roman"/>
          <w:b/>
          <w:bCs/>
          <w:iCs/>
          <w:color w:val="000000" w:themeColor="text1"/>
          <w:szCs w:val="24"/>
        </w:rPr>
        <w:t>Generación de herramientas de planificación de la ciudad  asociadas a sitios contaminados y administración de los recursos suelo y agua subterránea del acuífero somero:</w:t>
      </w:r>
      <w:r>
        <w:rPr>
          <w:rFonts w:ascii="Times New Roman" w:hAnsi="Times New Roman"/>
          <w:iCs/>
          <w:szCs w:val="24"/>
        </w:rPr>
        <w:t xml:space="preserve"> </w:t>
      </w:r>
      <w:r>
        <w:rPr>
          <w:rFonts w:ascii="Times New Roman" w:hAnsi="Times New Roman"/>
          <w:iCs/>
          <w:color w:val="000000" w:themeColor="text1"/>
          <w:szCs w:val="24"/>
        </w:rPr>
        <w:t>La Secretaria Distrital de Ambiente durante la última década ha enfocado fuertemente su actuación en relación a visibilizar y darle la importancia que amerita el recurso suelo, de esta manera, a través del cumplimiento de sus  funciones misionales de control y vigilancia  ha identificado los   factores de deterioro  asociados a las  actividades industriales,  de servicios y extractiva de minerales, que impactan de manera negativa la calidad y la función propia de la referida matriz ambiental, si bien se cuenta con información histórica, la misma no está soportada en un sistema de información común  que sea de fácil acceso, que cuente con la  identificación clara y precisa de cada uno de los predios catastrales , que documente la  información primaria y secundaria de manera que se constituya una  herramienta que ayude a la planificación urbanística de la ciudad y a la administración del suelo en relación a sus características geológicas, físicas y químicas.</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lastRenderedPageBreak/>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1B7D5688" w14:textId="77777777" w:rsidR="00022E3E" w:rsidRDefault="00022E3E" w:rsidP="00022E3E">
      <w:pPr>
        <w:rPr>
          <w:rFonts w:ascii="Times New Roman" w:hAnsi="Times New Roman"/>
        </w:rPr>
      </w:pPr>
      <w:r>
        <w:rPr>
          <w:rFonts w:ascii="Times New Roman" w:hAnsi="Times New Roman"/>
          <w:lang w:eastAsia="es-CO"/>
        </w:rPr>
        <w:t>El plan de desarrollo para el p</w:t>
      </w:r>
      <w:r>
        <w:rPr>
          <w:rFonts w:ascii="Times New Roman" w:hAnsi="Times New Roman"/>
        </w:rPr>
        <w:t xml:space="preserve">eríodo 2020-2024 “Un Nuevo Contrato Social y Ambiental para la Bogotá del siglo XXI” constituye el marco de acción de las políticas, programas, estrategias y proyectos de la administración distrital, para lograr una redistribución más equitativa de los costos y beneficios de vivir en Bogotá. El propósito 2. Cambiar nuestros hábitos de vida para reverdecer a Bogotá y adaptarnos y mitigar la crisis climática. Para lograr el cumplimiento del  propósito se deberán  desarrollar estrategias que mejoren la calidad del medio ambiente natural, construido y regional desde la perspectiva de la generación de condiciones de bienestar para la población y los demás seres vivos presentes en el territorio, así las cosas, el alternativa del presente proyecto va encaminada a lograr una identificación y diagnóstico de las condiciones del suelo y el agua subterránea del acuífero somero y en consecuencia a emprender las acciones desde el ámbito de la autoridad ambiental a las que haya lugar para lograr la remediación, restauración y rehabilitación de los suelos degradados o contaminados para mejorar la calidad de los recursos y en consecuencia el bienestar de la comunidad. </w:t>
      </w:r>
    </w:p>
    <w:p w14:paraId="326D698D" w14:textId="77777777" w:rsidR="00022E3E" w:rsidRDefault="00022E3E" w:rsidP="00022E3E">
      <w:pPr>
        <w:rPr>
          <w:rFonts w:ascii="Times New Roman" w:hAnsi="Times New Roman"/>
        </w:rPr>
      </w:pPr>
    </w:p>
    <w:p w14:paraId="2A7702A7" w14:textId="77777777" w:rsidR="00022E3E" w:rsidRDefault="00022E3E" w:rsidP="00022E3E">
      <w:pPr>
        <w:rPr>
          <w:rFonts w:ascii="Times New Roman" w:hAnsi="Times New Roman"/>
        </w:rPr>
      </w:pPr>
      <w:r>
        <w:rPr>
          <w:rFonts w:ascii="Times New Roman" w:hAnsi="Times New Roman"/>
        </w:rPr>
        <w:t>No obstante, estás actividades son misionales de la autoridad ambiental y cuentan con fundamento y soporte de ley para su desarrolla, también al ser meta producto y meta resultado en el plan de desarrollo permitirá dar continuidad durante el próximo cuatrienio a las acciones planteadas para lograr la consecución de las metas y objetivos establecidos en el presente proyecto. Lo anterior, soporta la sostenibilidad financiera del proyecto.</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1B46D8" w14:textId="77777777" w:rsidR="00022E3E" w:rsidRDefault="00022E3E" w:rsidP="00022E3E">
      <w:pPr>
        <w:rPr>
          <w:rFonts w:ascii="Times New Roman" w:hAnsi="Times New Roman"/>
        </w:rPr>
      </w:pPr>
      <w:r>
        <w:rPr>
          <w:rFonts w:ascii="Times New Roman" w:hAnsi="Times New Roman"/>
        </w:rPr>
        <w:t xml:space="preserve">Considerando que las acciones que desarrolla toda Autoridad Ambiental en cumplimiento de sus funciones son públicas y de libre conocimiento, todos las actuaciones que se generen en relación a los predios que sean identificados como sitios potencialmente contaminados, sitios contaminados o suelos degradados  en el marco  de acciones de control y vigilancia por parte de la Secretaria Distrital de Ambiente –SDA serán archivados en los respectivos expedientes asociados a: ¡) almacenamiento y distribución de hidrocarburos y sus derivados, ii) minería iii) suelos y recursos asociados, los cuales son de libre consulta por lo cual cualquier ciudadano puede realizar su verificación; de igual forma la SDA cuenta con horarios de atención al ciudadano localizados en las instalaciones de la avenida caracas No 54-38 en donde cualquier persona que tenga dudas en relación a los procesos desarrollados pueda resolverlas. </w:t>
      </w:r>
    </w:p>
    <w:p w14:paraId="2079B06D" w14:textId="77777777" w:rsidR="00022E3E" w:rsidRDefault="00022E3E" w:rsidP="00022E3E">
      <w:pPr>
        <w:rPr>
          <w:rFonts w:ascii="Times New Roman" w:hAnsi="Times New Roman"/>
          <w:sz w:val="22"/>
          <w:lang w:eastAsia="en-US"/>
        </w:rPr>
      </w:pPr>
    </w:p>
    <w:p w14:paraId="777204E9" w14:textId="77777777" w:rsidR="00022E3E" w:rsidRDefault="00022E3E" w:rsidP="00022E3E">
      <w:pPr>
        <w:rPr>
          <w:rFonts w:ascii="Times New Roman" w:hAnsi="Times New Roman"/>
        </w:rPr>
      </w:pPr>
      <w:r>
        <w:rPr>
          <w:rFonts w:ascii="Times New Roman" w:hAnsi="Times New Roman"/>
        </w:rPr>
        <w:t xml:space="preserve">Ahora bien, si se trata de una remediación de un sitio con un área aferente por fuera de las instalaciones del predio objeto de estudio, la SDA solicitara la comunicación del riesgo a la comunidad cercana de acuerdo con los protocolos establecidos para dicho fin. </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73D028D1" w14:textId="77777777" w:rsidR="00022E3E" w:rsidRDefault="00022E3E" w:rsidP="00022E3E">
      <w:pPr>
        <w:rPr>
          <w:rFonts w:ascii="Times New Roman" w:hAnsi="Times New Roman"/>
        </w:rPr>
      </w:pPr>
      <w:r>
        <w:rPr>
          <w:rFonts w:ascii="Times New Roman" w:hAnsi="Times New Roman"/>
        </w:rPr>
        <w:t xml:space="preserve">Una de las actividades planteadas en la cadena de valor del presente proyecto es “Desarrollar e implementar un modelo conceptual de captura de información sobre características del suelo en sitios con afectación (potencial y configurada) al suelo y/o agua subterránea del acuífero somero.” Con esta información se pretende lograr un inventario o catastro de sitios contaminados, suelos degradados y pasivos ambientales, que sirva de herramienta de planificación urbanística de la ciudad ya que coadyuva a soportar decisiones de habilitación de suelos, cambios de uso, </w:t>
      </w:r>
      <w:r>
        <w:rPr>
          <w:rFonts w:ascii="Times New Roman" w:hAnsi="Times New Roman"/>
        </w:rPr>
        <w:lastRenderedPageBreak/>
        <w:t xml:space="preserve">modificaciones estructurales, adquisición de bienes considerando el contexto de las características físicas, químicas del suelo en los diferentes predios catastrales identificados, de manera que se minimicen los riesgos  a la salud y el medio ambiente. </w:t>
      </w:r>
    </w:p>
    <w:p w14:paraId="20CDD09E" w14:textId="6712D038" w:rsidR="0005376C" w:rsidRPr="0005376C" w:rsidRDefault="0005376C"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3FF1A6B3" w14:textId="77777777" w:rsidR="00022E3E" w:rsidRDefault="00022E3E" w:rsidP="00022E3E">
      <w:pPr>
        <w:rPr>
          <w:rFonts w:ascii="Times New Roman" w:hAnsi="Times New Roman"/>
          <w:lang w:eastAsia="es-CO"/>
        </w:rPr>
      </w:pPr>
      <w:r>
        <w:rPr>
          <w:rFonts w:ascii="Times New Roman" w:hAnsi="Times New Roman"/>
          <w:szCs w:val="24"/>
          <w:lang w:eastAsia="es-CO"/>
        </w:rPr>
        <w:t>El proyecto no tiene asociado ningún plan maestro del actual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22BE8D03"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981597" w:rsidRPr="0018003D" w14:paraId="1C4BB375" w14:textId="77777777" w:rsidTr="00AC41A9">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1AB13BB1"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 xml:space="preserve">LOCALIZACIÓN DE LA ALTERNATIVA </w:t>
            </w:r>
          </w:p>
        </w:tc>
      </w:tr>
      <w:tr w:rsidR="00981597" w:rsidRPr="0018003D" w14:paraId="0ADEAFE6" w14:textId="77777777" w:rsidTr="00C41775">
        <w:trPr>
          <w:trHeight w:val="363"/>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F30498A"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A81ED8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582A463"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E90C3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879768"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EC829C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FF88014"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B565A9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Longitud</w:t>
            </w:r>
          </w:p>
        </w:tc>
      </w:tr>
      <w:tr w:rsidR="00981597" w:rsidRPr="0018003D" w14:paraId="0713AEF2" w14:textId="77777777" w:rsidTr="00C41775">
        <w:trPr>
          <w:trHeight w:val="189"/>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C0EB7E4" w14:textId="77777777" w:rsidR="00981597" w:rsidRPr="004A5EF1" w:rsidRDefault="00981597" w:rsidP="00AC41A9">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B1552E"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D1DBE1F"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9138134" w14:textId="1B32D519" w:rsidR="00981597" w:rsidRPr="0018003D" w:rsidRDefault="00981597" w:rsidP="00AC41A9">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r w:rsidR="00C41775">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C508ED7" w14:textId="1DCEA594"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984BDFA" w14:textId="72BBEE0B" w:rsidR="00981597" w:rsidRPr="0018003D" w:rsidRDefault="002D6169"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478DA91" w14:textId="3AC771B1"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65AFBC" w14:textId="1061552A"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r>
    </w:tbl>
    <w:p w14:paraId="41142763" w14:textId="77777777" w:rsidR="00C41775" w:rsidRDefault="00C41775" w:rsidP="00C41775">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3DA01360" w14:textId="77777777" w:rsidR="00C41775" w:rsidRPr="0018003D" w:rsidRDefault="00C41775">
      <w:pPr>
        <w:pBdr>
          <w:top w:val="nil"/>
          <w:left w:val="nil"/>
          <w:bottom w:val="nil"/>
          <w:right w:val="nil"/>
          <w:between w:val="nil"/>
        </w:pBdr>
        <w:ind w:left="1440" w:hanging="708"/>
        <w:jc w:val="left"/>
        <w:rPr>
          <w:rFonts w:ascii="Times New Roman" w:hAnsi="Times New Roman"/>
          <w:color w:val="000000"/>
          <w:sz w:val="22"/>
          <w:szCs w:val="22"/>
        </w:rPr>
      </w:pPr>
    </w:p>
    <w:p w14:paraId="23069CE3" w14:textId="77777777" w:rsidR="00022E3E" w:rsidRDefault="00022E3E" w:rsidP="00022E3E">
      <w:pPr>
        <w:rPr>
          <w:rFonts w:ascii="Times New Roman" w:hAnsi="Times New Roman"/>
          <w:szCs w:val="24"/>
          <w:lang w:eastAsia="es-CO"/>
        </w:rPr>
      </w:pPr>
      <w:r>
        <w:rPr>
          <w:rFonts w:ascii="Times New Roman" w:hAnsi="Times New Roman"/>
          <w:szCs w:val="24"/>
          <w:lang w:eastAsia="es-CO"/>
        </w:rPr>
        <w:t>Se realizado un análisis de la localización de la alternativa de acuerdo con la relación de predios identificados con afectación (potencial o constituida) sobre el suelo y el agua subterránea del acuífero somero en el Distrito Capital.</w:t>
      </w:r>
    </w:p>
    <w:p w14:paraId="4FBD7AF1" w14:textId="77777777" w:rsidR="00022E3E" w:rsidRDefault="00022E3E" w:rsidP="00022E3E">
      <w:pPr>
        <w:rPr>
          <w:rFonts w:ascii="Times New Roman" w:hAnsi="Times New Roman"/>
          <w:szCs w:val="24"/>
          <w:lang w:eastAsia="es-CO"/>
        </w:rPr>
      </w:pPr>
    </w:p>
    <w:p w14:paraId="33225E85"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Tabla 15. Localización de los predios objeto del proyecto en las localidades del Distrito</w:t>
      </w:r>
    </w:p>
    <w:tbl>
      <w:tblPr>
        <w:tblW w:w="8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71"/>
        <w:gridCol w:w="1941"/>
        <w:gridCol w:w="1058"/>
        <w:gridCol w:w="1275"/>
      </w:tblGrid>
      <w:tr w:rsidR="00022E3E" w:rsidRPr="00C41775" w14:paraId="482CD238" w14:textId="77777777" w:rsidTr="00022E3E">
        <w:trPr>
          <w:trHeight w:val="252"/>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90EE88"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LOCALIDAD</w:t>
            </w:r>
          </w:p>
        </w:tc>
        <w:tc>
          <w:tcPr>
            <w:tcW w:w="24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1BA58E" w14:textId="77777777" w:rsidR="00022E3E" w:rsidRPr="00C41775" w:rsidRDefault="00022E3E">
            <w:pPr>
              <w:spacing w:line="256" w:lineRule="auto"/>
              <w:jc w:val="center"/>
              <w:rPr>
                <w:rFonts w:ascii="Times New Roman" w:hAnsi="Times New Roman"/>
                <w:b/>
                <w:bCs/>
                <w:color w:val="FFFFFF" w:themeColor="background1"/>
                <w:sz w:val="18"/>
                <w:szCs w:val="18"/>
                <w:lang w:eastAsia="es-CO"/>
              </w:rPr>
            </w:pPr>
            <w:r w:rsidRPr="00C41775">
              <w:rPr>
                <w:rFonts w:ascii="Times New Roman" w:hAnsi="Times New Roman"/>
                <w:b/>
                <w:bCs/>
                <w:color w:val="FFFFFF" w:themeColor="background1"/>
                <w:sz w:val="18"/>
                <w:szCs w:val="18"/>
                <w:lang w:eastAsia="es-CO"/>
              </w:rPr>
              <w:t>SUELOS CONTAMINADOS</w:t>
            </w:r>
          </w:p>
        </w:tc>
        <w:tc>
          <w:tcPr>
            <w:tcW w:w="19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AB23BB"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HIDROCARBUROS</w:t>
            </w:r>
          </w:p>
        </w:tc>
        <w:tc>
          <w:tcPr>
            <w:tcW w:w="105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686B38C"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MINERIA</w:t>
            </w:r>
          </w:p>
        </w:tc>
        <w:tc>
          <w:tcPr>
            <w:tcW w:w="12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A2CA03"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TOTAL</w:t>
            </w:r>
          </w:p>
        </w:tc>
      </w:tr>
      <w:tr w:rsidR="00022E3E" w14:paraId="0325063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A89953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ANTONIO NARIÑO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B2E6E3F"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F4825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DD1FCC"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19C84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r>
      <w:tr w:rsidR="00022E3E" w14:paraId="4FBF02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E6D1FB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BARRIOS UNIDOS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6662E1"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1EC59C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33E2EA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903E9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51D10D3"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DD3983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BOSA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9825A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8D9C46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23</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5502E5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0F46D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27</w:t>
            </w:r>
          </w:p>
        </w:tc>
      </w:tr>
      <w:tr w:rsidR="00022E3E" w14:paraId="5B619348"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71B586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CHAPINERO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F1A401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D1A0E9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4BADCAE2"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4D23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53</w:t>
            </w:r>
          </w:p>
        </w:tc>
      </w:tr>
      <w:tr w:rsidR="00022E3E" w14:paraId="6ECA2A1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5C07C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CIUDAD BOLÍVAR</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AA30FD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CA4A8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23EC31D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41B50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125</w:t>
            </w:r>
          </w:p>
        </w:tc>
      </w:tr>
      <w:tr w:rsidR="00022E3E" w14:paraId="62F97996"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CBE0481"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ENGATIVÁ</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0BFB9C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646FD3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C6D968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34930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33</w:t>
            </w:r>
          </w:p>
        </w:tc>
      </w:tr>
      <w:tr w:rsidR="00022E3E" w14:paraId="5AC828F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7BA6DF9"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FONTIBÓN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619B44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117</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327262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FEF456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46C38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178</w:t>
            </w:r>
          </w:p>
        </w:tc>
      </w:tr>
      <w:tr w:rsidR="00022E3E" w14:paraId="747A6F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BD7C55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KENNEDY</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FBBB83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F96BC4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47</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4C175E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64DF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68</w:t>
            </w:r>
          </w:p>
        </w:tc>
      </w:tr>
      <w:tr w:rsidR="00022E3E" w14:paraId="3EA76E80"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808C94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LOS MÁRTIRES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41E62DD"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CC3895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3479566E"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F582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r>
      <w:tr w:rsidR="00022E3E" w14:paraId="144B3AA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8470CA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PUENTE ARANDA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18BD28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BCA7B4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1E902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FFA43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55</w:t>
            </w:r>
          </w:p>
        </w:tc>
      </w:tr>
      <w:tr w:rsidR="00022E3E" w14:paraId="1F12DA4F"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516EC3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 xml:space="preserve">RAFAEL URIBE </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71E7DA"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BD8948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EC6BC1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2B596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73</w:t>
            </w:r>
          </w:p>
        </w:tc>
      </w:tr>
      <w:tr w:rsidR="00022E3E" w14:paraId="49512831"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14DBA2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 CRISTÓBAL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DEB3F84"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14F05A2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3BF9B0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537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51</w:t>
            </w:r>
          </w:p>
        </w:tc>
      </w:tr>
      <w:tr w:rsidR="00022E3E" w14:paraId="02D7394B"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7FB47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SANTA FÉ</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33B432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38CD82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4E5DD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71CD2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6F197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5BD9E9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SUBA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67A682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0FB0B8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9F5B53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371A1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26</w:t>
            </w:r>
          </w:p>
        </w:tc>
      </w:tr>
      <w:tr w:rsidR="00022E3E" w14:paraId="602AA9CA"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D4D5EC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TEUSAQUILLO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C3A573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5304E5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93A4164"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EB4E6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13</w:t>
            </w:r>
          </w:p>
        </w:tc>
      </w:tr>
      <w:tr w:rsidR="00022E3E" w14:paraId="7FE6E8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FC0A065"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TUNJUELITO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D61FC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08CF98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4D25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9262D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25</w:t>
            </w:r>
          </w:p>
        </w:tc>
      </w:tr>
      <w:tr w:rsidR="00022E3E" w14:paraId="0A50E9D4"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871CC2A"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USAQUÉN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0B24F7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73A014E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F4F898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5B301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r>
      <w:tr w:rsidR="00022E3E" w14:paraId="30F527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D272D13"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USME</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2F9218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A88C40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20</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D6693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90115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115</w:t>
            </w:r>
          </w:p>
        </w:tc>
      </w:tr>
      <w:tr w:rsidR="00022E3E" w14:paraId="03630C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7ED69AD"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TOTAL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9FBFAB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2CF569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568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73AAE2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382EA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1000</w:t>
            </w:r>
          </w:p>
        </w:tc>
      </w:tr>
    </w:tbl>
    <w:p w14:paraId="09E6FF16"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7DD496A0" w14:textId="77777777" w:rsidR="00022E3E" w:rsidRDefault="00022E3E" w:rsidP="00022E3E">
      <w:pPr>
        <w:jc w:val="left"/>
        <w:rPr>
          <w:rFonts w:ascii="Times New Roman" w:hAnsi="Times New Roman"/>
          <w:szCs w:val="24"/>
          <w:lang w:eastAsia="es-CO"/>
        </w:rPr>
        <w:sectPr w:rsidR="00022E3E">
          <w:pgSz w:w="12240" w:h="15840"/>
          <w:pgMar w:top="1418" w:right="1276" w:bottom="992" w:left="1701" w:header="709" w:footer="709" w:gutter="0"/>
          <w:cols w:space="720"/>
        </w:sectPr>
      </w:pPr>
    </w:p>
    <w:p w14:paraId="5FA37BB3"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lastRenderedPageBreak/>
        <w:t>Figura 6. Localización de los predios objeto del proyecto en las localidades del Distrito</w:t>
      </w:r>
    </w:p>
    <w:p w14:paraId="1DCD5A5F" w14:textId="237178DD"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613AACDE" wp14:editId="12175055">
            <wp:extent cx="8543925" cy="5381625"/>
            <wp:effectExtent l="0" t="0" r="9525" b="9525"/>
            <wp:docPr id="9" name="Gráfico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10A7E8"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1C064E5E" w14:textId="77777777" w:rsidR="00022E3E" w:rsidRDefault="00022E3E" w:rsidP="00022E3E">
      <w:pPr>
        <w:jc w:val="left"/>
        <w:rPr>
          <w:rFonts w:ascii="Times New Roman" w:hAnsi="Times New Roman"/>
          <w:szCs w:val="24"/>
          <w:lang w:eastAsia="es-CO"/>
        </w:rPr>
        <w:sectPr w:rsidR="00022E3E">
          <w:pgSz w:w="15840" w:h="12240" w:orient="landscape"/>
          <w:pgMar w:top="1701" w:right="1418" w:bottom="1276" w:left="992" w:header="709" w:footer="709" w:gutter="0"/>
          <w:cols w:space="720"/>
        </w:sectPr>
      </w:pPr>
    </w:p>
    <w:p w14:paraId="38F932E2" w14:textId="78DD8119" w:rsidR="00022E3E" w:rsidRDefault="00022E3E" w:rsidP="0023714A">
      <w:pPr>
        <w:ind w:left="720" w:hanging="720"/>
        <w:rPr>
          <w:rFonts w:ascii="Times New Roman" w:hAnsi="Times New Roman"/>
          <w:szCs w:val="24"/>
          <w:lang w:eastAsia="es-CO"/>
        </w:rPr>
      </w:pPr>
      <w:r>
        <w:rPr>
          <w:rFonts w:ascii="Times New Roman" w:hAnsi="Times New Roman"/>
          <w:szCs w:val="24"/>
          <w:lang w:eastAsia="es-CO"/>
        </w:rPr>
        <w:lastRenderedPageBreak/>
        <w:t xml:space="preserve">Vale la pena hacer la claridad que toda vez que la localidad de Sumapaz no hace parte de la jurisdicción de la </w:t>
      </w:r>
      <w:proofErr w:type="gramStart"/>
      <w:r>
        <w:rPr>
          <w:rFonts w:ascii="Times New Roman" w:hAnsi="Times New Roman"/>
          <w:szCs w:val="24"/>
          <w:lang w:eastAsia="es-CO"/>
        </w:rPr>
        <w:t>Secretaria</w:t>
      </w:r>
      <w:proofErr w:type="gramEnd"/>
      <w:r>
        <w:rPr>
          <w:rFonts w:ascii="Times New Roman" w:hAnsi="Times New Roman"/>
          <w:szCs w:val="24"/>
          <w:lang w:eastAsia="es-CO"/>
        </w:rPr>
        <w:t xml:space="preserve"> Distrital de Ambiente por su carácter rural, no fue contemplada en el análisis. Asimismo, se establece que la localidad de Candelaria no cuenta con actividades que generen afectación potencial al suelo o al agua subterránea del acuífero somero por su caracterización de zona historia con protección patrimonial y de suelo.</w:t>
      </w:r>
    </w:p>
    <w:p w14:paraId="2F33FD08" w14:textId="77777777" w:rsidR="004A5EF1" w:rsidRDefault="004A5EF1" w:rsidP="005A7F13">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17ED376" w14:textId="77777777" w:rsidR="00022E3E" w:rsidRDefault="00022E3E" w:rsidP="00022E3E">
      <w:pPr>
        <w:jc w:val="left"/>
        <w:rPr>
          <w:rFonts w:ascii="Times New Roman" w:hAnsi="Times New Roman"/>
          <w:iCs/>
          <w:szCs w:val="24"/>
          <w:lang w:eastAsia="es-CO"/>
        </w:rPr>
      </w:pPr>
      <w:r>
        <w:rPr>
          <w:rFonts w:ascii="Times New Roman" w:hAnsi="Times New Roman"/>
          <w:iCs/>
          <w:szCs w:val="24"/>
          <w:lang w:eastAsia="es-CO"/>
        </w:rPr>
        <w:t>Se determinaron como factores que inciden en la localización de la alternativa los siguientes:</w:t>
      </w:r>
    </w:p>
    <w:p w14:paraId="0983425E" w14:textId="654AD82C" w:rsidR="00022E3E" w:rsidRDefault="00022E3E" w:rsidP="00022E3E">
      <w:pPr>
        <w:pStyle w:val="Prrafodelista"/>
        <w:ind w:left="144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D32ED7" w:rsidRPr="0018003D" w14:paraId="34C5762C" w14:textId="77777777" w:rsidTr="00D32ED7">
        <w:trPr>
          <w:trHeight w:val="15"/>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5B11027" w14:textId="77777777" w:rsidR="00D32ED7" w:rsidRPr="004A5EF1" w:rsidRDefault="00D32ED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D32ED7" w:rsidRPr="0018003D" w14:paraId="2097D20A" w14:textId="77777777" w:rsidTr="00AC41A9">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65343D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35E3805" w14:textId="4546026C"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4B9BFE63" w14:textId="77777777" w:rsidTr="00AC41A9">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B61824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6CFC3EB" w14:textId="77777777" w:rsidR="00D32ED7" w:rsidRPr="0018003D" w:rsidRDefault="00D32ED7" w:rsidP="00AC41A9">
            <w:pPr>
              <w:rPr>
                <w:rFonts w:ascii="Times New Roman" w:hAnsi="Times New Roman"/>
                <w:i/>
                <w:sz w:val="22"/>
                <w:szCs w:val="22"/>
              </w:rPr>
            </w:pPr>
          </w:p>
        </w:tc>
      </w:tr>
      <w:tr w:rsidR="00D32ED7" w:rsidRPr="0018003D" w14:paraId="5A61B0AC" w14:textId="77777777" w:rsidTr="00D32ED7">
        <w:trPr>
          <w:trHeight w:val="25"/>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A7B0B0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622CE9" w14:textId="77777777" w:rsidR="00D32ED7" w:rsidRPr="0018003D" w:rsidRDefault="00D32ED7" w:rsidP="00AC41A9">
            <w:pPr>
              <w:rPr>
                <w:rFonts w:ascii="Times New Roman" w:hAnsi="Times New Roman"/>
                <w:i/>
                <w:sz w:val="22"/>
                <w:szCs w:val="22"/>
              </w:rPr>
            </w:pPr>
          </w:p>
        </w:tc>
      </w:tr>
      <w:tr w:rsidR="00D32ED7" w:rsidRPr="0018003D" w14:paraId="36C4C364" w14:textId="77777777" w:rsidTr="00AC41A9">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0C3A20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2AF34E"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50ADD42B" w14:textId="77777777" w:rsidTr="00AC41A9">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58894D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3C1E653" w14:textId="77777777" w:rsidR="00D32ED7" w:rsidRPr="0018003D" w:rsidRDefault="00D32ED7" w:rsidP="00AC41A9">
            <w:pPr>
              <w:rPr>
                <w:rFonts w:ascii="Times New Roman" w:hAnsi="Times New Roman"/>
                <w:i/>
                <w:sz w:val="22"/>
                <w:szCs w:val="22"/>
              </w:rPr>
            </w:pPr>
          </w:p>
        </w:tc>
      </w:tr>
      <w:tr w:rsidR="00D32ED7" w:rsidRPr="0018003D" w14:paraId="0076E939"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7B1638B"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B4490E2"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661F43C9" w14:textId="77777777" w:rsidTr="00AC41A9">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DDEF3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9301EEE" w14:textId="77777777" w:rsidR="00D32ED7" w:rsidRPr="0018003D" w:rsidRDefault="00D32ED7" w:rsidP="00AC41A9">
            <w:pPr>
              <w:rPr>
                <w:rFonts w:ascii="Times New Roman" w:hAnsi="Times New Roman"/>
                <w:i/>
                <w:sz w:val="22"/>
                <w:szCs w:val="22"/>
              </w:rPr>
            </w:pPr>
          </w:p>
        </w:tc>
      </w:tr>
      <w:tr w:rsidR="00D32ED7" w:rsidRPr="0018003D" w14:paraId="7A146EE1"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878601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0C4088" w14:textId="14A899B8"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219D0A52"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CEEA6E5"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A859474" w14:textId="77777777" w:rsidR="00D32ED7" w:rsidRPr="0018003D" w:rsidRDefault="00D32ED7" w:rsidP="00AC41A9">
            <w:pPr>
              <w:rPr>
                <w:rFonts w:ascii="Times New Roman" w:hAnsi="Times New Roman"/>
                <w:i/>
                <w:sz w:val="22"/>
                <w:szCs w:val="22"/>
              </w:rPr>
            </w:pPr>
          </w:p>
        </w:tc>
      </w:tr>
      <w:tr w:rsidR="00D32ED7" w:rsidRPr="0018003D" w14:paraId="2D3E8F7C" w14:textId="77777777" w:rsidTr="00AC41A9">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A1C003"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4FECDB" w14:textId="77777777" w:rsidR="00D32ED7" w:rsidRPr="0018003D" w:rsidRDefault="00D32ED7" w:rsidP="00AC41A9">
            <w:pPr>
              <w:rPr>
                <w:rFonts w:ascii="Times New Roman" w:hAnsi="Times New Roman"/>
                <w:i/>
                <w:sz w:val="22"/>
                <w:szCs w:val="22"/>
              </w:rPr>
            </w:pPr>
          </w:p>
        </w:tc>
      </w:tr>
      <w:tr w:rsidR="00D32ED7" w:rsidRPr="0018003D" w14:paraId="3B4760DB" w14:textId="77777777" w:rsidTr="00AC41A9">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41360B0"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6711536" w14:textId="77777777" w:rsidR="00D32ED7" w:rsidRPr="0018003D" w:rsidRDefault="00D32ED7" w:rsidP="00AC41A9">
            <w:pPr>
              <w:rPr>
                <w:rFonts w:ascii="Times New Roman" w:hAnsi="Times New Roman"/>
                <w:i/>
                <w:sz w:val="22"/>
                <w:szCs w:val="22"/>
              </w:rPr>
            </w:pPr>
          </w:p>
        </w:tc>
      </w:tr>
      <w:tr w:rsidR="00D32ED7" w:rsidRPr="0018003D" w14:paraId="141619A8" w14:textId="77777777" w:rsidTr="00AC41A9">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5B79CA"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5C181F" w14:textId="231DD6D3" w:rsidR="00D32ED7" w:rsidRPr="0018003D" w:rsidRDefault="00D32ED7" w:rsidP="00D32ED7">
            <w:pPr>
              <w:jc w:val="center"/>
              <w:rPr>
                <w:rFonts w:ascii="Times New Roman" w:hAnsi="Times New Roman"/>
                <w:i/>
                <w:sz w:val="22"/>
                <w:szCs w:val="22"/>
              </w:rPr>
            </w:pPr>
            <w:r>
              <w:rPr>
                <w:rFonts w:ascii="Times New Roman" w:hAnsi="Times New Roman"/>
                <w:i/>
                <w:sz w:val="22"/>
                <w:szCs w:val="22"/>
              </w:rPr>
              <w:t>X</w:t>
            </w:r>
          </w:p>
        </w:tc>
      </w:tr>
      <w:tr w:rsidR="00D32ED7" w:rsidRPr="0018003D" w14:paraId="27EF7F6C" w14:textId="77777777" w:rsidTr="00AC41A9">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304F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6417342" w14:textId="77777777" w:rsidR="00D32ED7" w:rsidRPr="0018003D" w:rsidRDefault="00D32ED7" w:rsidP="00AC41A9">
            <w:pPr>
              <w:rPr>
                <w:rFonts w:ascii="Times New Roman" w:hAnsi="Times New Roman"/>
                <w:i/>
                <w:sz w:val="22"/>
                <w:szCs w:val="22"/>
              </w:rPr>
            </w:pPr>
          </w:p>
        </w:tc>
      </w:tr>
      <w:tr w:rsidR="00D32ED7" w:rsidRPr="0018003D" w14:paraId="146A8D16" w14:textId="77777777" w:rsidTr="00AC41A9">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29F820E9"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F1359D8" w14:textId="77777777" w:rsidR="00D32ED7" w:rsidRPr="0018003D" w:rsidRDefault="00D32ED7" w:rsidP="00AC41A9">
            <w:pPr>
              <w:spacing w:line="276" w:lineRule="auto"/>
              <w:jc w:val="center"/>
              <w:rPr>
                <w:rFonts w:ascii="Times New Roman" w:hAnsi="Times New Roman"/>
                <w:i/>
                <w:sz w:val="22"/>
                <w:szCs w:val="22"/>
              </w:rPr>
            </w:pPr>
          </w:p>
        </w:tc>
      </w:tr>
    </w:tbl>
    <w:p w14:paraId="56DE78D1" w14:textId="77777777" w:rsidR="00D32ED7" w:rsidRPr="00B6738C" w:rsidRDefault="00D32ED7" w:rsidP="00D32ED7">
      <w:pPr>
        <w:jc w:val="center"/>
        <w:rPr>
          <w:rFonts w:ascii="Times New Roman" w:hAnsi="Times New Roman"/>
          <w:bCs/>
          <w:i/>
          <w:iCs/>
          <w:sz w:val="20"/>
          <w:lang w:eastAsia="es-CO"/>
        </w:rPr>
      </w:pPr>
      <w:r w:rsidRPr="00B6738C">
        <w:rPr>
          <w:rFonts w:ascii="Times New Roman" w:hAnsi="Times New Roman"/>
          <w:bCs/>
          <w:i/>
          <w:iCs/>
          <w:sz w:val="20"/>
          <w:lang w:eastAsia="es-CO"/>
        </w:rPr>
        <w:t>Fuentes: SDA – Ficha MGA 2020</w:t>
      </w:r>
    </w:p>
    <w:p w14:paraId="0353ECD3" w14:textId="77777777" w:rsidR="00D32ED7" w:rsidRDefault="00D32ED7" w:rsidP="00022E3E">
      <w:pPr>
        <w:pStyle w:val="Prrafodelista"/>
        <w:ind w:left="1440"/>
        <w:contextualSpacing/>
        <w:jc w:val="left"/>
        <w:rPr>
          <w:rFonts w:ascii="Times New Roman" w:hAnsi="Times New Roman"/>
          <w:szCs w:val="24"/>
          <w:lang w:eastAsia="es-CO"/>
        </w:rPr>
      </w:pPr>
    </w:p>
    <w:p w14:paraId="0B95C43A"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Aspectos administrativos y políticos:</w:t>
      </w:r>
      <w:r>
        <w:rPr>
          <w:rFonts w:ascii="Times New Roman" w:hAnsi="Times New Roman"/>
          <w:bCs/>
          <w:color w:val="000000" w:themeColor="text1"/>
          <w:szCs w:val="24"/>
          <w:lang w:eastAsia="es-CO"/>
        </w:rPr>
        <w:t xml:space="preserve"> Se contempla para delimitar el alcance de la jurisdicción de la </w:t>
      </w:r>
      <w:proofErr w:type="gramStart"/>
      <w:r>
        <w:rPr>
          <w:rFonts w:ascii="Times New Roman" w:hAnsi="Times New Roman"/>
          <w:bCs/>
          <w:color w:val="000000" w:themeColor="text1"/>
          <w:szCs w:val="24"/>
          <w:lang w:eastAsia="es-CO"/>
        </w:rPr>
        <w:t>Secretaria</w:t>
      </w:r>
      <w:proofErr w:type="gramEnd"/>
      <w:r>
        <w:rPr>
          <w:rFonts w:ascii="Times New Roman" w:hAnsi="Times New Roman"/>
          <w:bCs/>
          <w:color w:val="000000" w:themeColor="text1"/>
          <w:szCs w:val="24"/>
          <w:lang w:eastAsia="es-CO"/>
        </w:rPr>
        <w:t xml:space="preserve"> Distrital de Ambiente establecido en el Decreto 190 de 2009 (Modificado por el Decreto 175 de 2009), y el carácter de perímetro urbano del distrito establecido en el Decreto 190 de 2004 (Plan de Ordenamiento Territorial)</w:t>
      </w:r>
    </w:p>
    <w:p w14:paraId="0B95A1C4"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Cercanía a la población objetivo</w:t>
      </w:r>
      <w:r>
        <w:rPr>
          <w:rFonts w:ascii="Times New Roman" w:hAnsi="Times New Roman"/>
          <w:bCs/>
          <w:color w:val="000000" w:themeColor="text1"/>
          <w:szCs w:val="24"/>
          <w:lang w:eastAsia="es-CO"/>
        </w:rPr>
        <w:t>: Se contempla como especialización de las Unidades de Planeamiento Zonal (UPZ) en las cuales se ubicaron los predios objeto de la alternativa a desarrollar, como se evidencia en la Figura 6.</w:t>
      </w:r>
    </w:p>
    <w:p w14:paraId="066B94A1"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lastRenderedPageBreak/>
        <w:t>Factores ambientales:</w:t>
      </w:r>
      <w:r>
        <w:rPr>
          <w:rFonts w:ascii="Times New Roman" w:hAnsi="Times New Roman"/>
          <w:bCs/>
          <w:color w:val="000000" w:themeColor="text1"/>
          <w:szCs w:val="24"/>
          <w:lang w:eastAsia="es-CO"/>
        </w:rPr>
        <w:t xml:space="preserve"> La ubicación de los predios objeto de la alternativa en desarrollo se ubican de acuerdo con la identificación de la afectación (potencial o constituida) al suelo y al agua subterránea del acuífero somero.</w:t>
      </w:r>
    </w:p>
    <w:p w14:paraId="0EBB3724" w14:textId="2442A35E" w:rsidR="00FB6A5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geográfica (</w:t>
      </w:r>
      <w:r w:rsidR="00FB6A53" w:rsidRPr="004A5EF1">
        <w:rPr>
          <w:rFonts w:ascii="Times New Roman" w:hAnsi="Times New Roman"/>
          <w:color w:val="000000"/>
          <w:szCs w:val="22"/>
        </w:rPr>
        <w:t>anexar mapas</w:t>
      </w:r>
      <w:r w:rsidR="00FB6A53" w:rsidRPr="004A5EF1">
        <w:rPr>
          <w:rFonts w:ascii="Times New Roman" w:hAnsi="Times New Roman"/>
          <w:b/>
          <w:color w:val="000000"/>
          <w:sz w:val="28"/>
          <w:szCs w:val="22"/>
        </w:rPr>
        <w:t>)</w:t>
      </w:r>
    </w:p>
    <w:p w14:paraId="05ECE072" w14:textId="7B86F0AE" w:rsidR="00466E58" w:rsidRDefault="00466E58" w:rsidP="00466E58">
      <w:pPr>
        <w:contextualSpacing/>
        <w:jc w:val="left"/>
        <w:rPr>
          <w:rFonts w:ascii="Times New Roman" w:hAnsi="Times New Roman"/>
          <w:b/>
          <w:bCs/>
          <w:szCs w:val="24"/>
          <w:lang w:eastAsia="es-CO"/>
        </w:rPr>
      </w:pPr>
    </w:p>
    <w:p w14:paraId="56361A4D" w14:textId="329222B0" w:rsidR="00022E3E" w:rsidRDefault="00022E3E" w:rsidP="00D32ED7">
      <w:pPr>
        <w:rPr>
          <w:rFonts w:ascii="Times New Roman" w:hAnsi="Times New Roman"/>
          <w:sz w:val="22"/>
          <w:szCs w:val="22"/>
          <w:lang w:eastAsia="es-CO"/>
        </w:rPr>
      </w:pPr>
      <w:bookmarkStart w:id="15" w:name="_Hlk55294421"/>
      <w:r>
        <w:rPr>
          <w:rFonts w:ascii="Times New Roman" w:hAnsi="Times New Roman"/>
          <w:szCs w:val="24"/>
          <w:lang w:eastAsia="es-CO"/>
        </w:rPr>
        <w:t>A continuación, se pude observar la distribución de los predios con afectación posible o constituida sobre el suelo y el acuífero subterráneo en el distrito capital acorde a lo establecido en la Tabla 15:</w:t>
      </w:r>
    </w:p>
    <w:p w14:paraId="749BCD0B" w14:textId="77777777" w:rsidR="00022E3E" w:rsidRDefault="00022E3E" w:rsidP="00022E3E">
      <w:pPr>
        <w:jc w:val="center"/>
        <w:rPr>
          <w:rFonts w:ascii="Times New Roman" w:hAnsi="Times New Roman"/>
          <w:sz w:val="22"/>
          <w:szCs w:val="22"/>
          <w:lang w:eastAsia="es-CO"/>
        </w:rPr>
      </w:pPr>
    </w:p>
    <w:p w14:paraId="6DE7A53A"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Imagen 1. Mapa de localización de los 1000 predios identificados con afectación (potencial o constituida) sobre el suelo y el agua subterránea del acuífero somero.</w:t>
      </w:r>
    </w:p>
    <w:p w14:paraId="6ABA8CC4" w14:textId="1A864279"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36FCA6FC" wp14:editId="3EF67449">
            <wp:extent cx="4781550" cy="62313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4879" cy="6235661"/>
                    </a:xfrm>
                    <a:prstGeom prst="rect">
                      <a:avLst/>
                    </a:prstGeom>
                    <a:noFill/>
                    <a:ln>
                      <a:noFill/>
                    </a:ln>
                  </pic:spPr>
                </pic:pic>
              </a:graphicData>
            </a:graphic>
          </wp:inline>
        </w:drawing>
      </w:r>
    </w:p>
    <w:p w14:paraId="11B72E39"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Fuente: Base de datos Geográfica de IDECA – SDA 2020</w:t>
      </w:r>
      <w:bookmarkEnd w:id="15"/>
    </w:p>
    <w:p w14:paraId="02CC2B11" w14:textId="6D9CD55C" w:rsidR="00466E58" w:rsidRDefault="00466E58" w:rsidP="00466E58">
      <w:pPr>
        <w:contextualSpacing/>
        <w:jc w:val="left"/>
        <w:rPr>
          <w:rFonts w:ascii="Times New Roman" w:hAnsi="Times New Roman"/>
          <w:b/>
          <w:bCs/>
          <w:szCs w:val="24"/>
          <w:lang w:eastAsia="es-CO"/>
        </w:rPr>
      </w:pPr>
    </w:p>
    <w:p w14:paraId="3CE06A9E" w14:textId="6FA89EDE" w:rsidR="00F550E3" w:rsidRPr="0018003D"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255D44F"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Objetivos específicos</w:t>
      </w:r>
    </w:p>
    <w:p w14:paraId="51BE8F39" w14:textId="77777777" w:rsidR="00833F63" w:rsidRDefault="00833F63" w:rsidP="00833F63">
      <w:pPr>
        <w:jc w:val="left"/>
        <w:rPr>
          <w:rFonts w:ascii="Times New Roman" w:hAnsi="Times New Roman"/>
          <w:b/>
          <w:bCs/>
          <w:szCs w:val="24"/>
          <w:lang w:eastAsia="es-CO"/>
        </w:rPr>
      </w:pPr>
    </w:p>
    <w:p w14:paraId="1689643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p w14:paraId="2FD631AD"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Desarrollar una herramienta de captura de información conceptual de las características del suelo y el agua subterráneo del acuífero somero.</w:t>
      </w:r>
    </w:p>
    <w:p w14:paraId="473C8D51" w14:textId="77777777" w:rsidR="00833F63" w:rsidRDefault="00833F63" w:rsidP="00833F63">
      <w:pPr>
        <w:pStyle w:val="Prrafodelista"/>
        <w:ind w:left="1440"/>
        <w:contextualSpacing/>
        <w:jc w:val="left"/>
        <w:rPr>
          <w:rFonts w:ascii="Times New Roman" w:hAnsi="Times New Roman"/>
          <w:b/>
          <w:bCs/>
          <w:szCs w:val="24"/>
          <w:lang w:eastAsia="es-CO"/>
        </w:rPr>
      </w:pPr>
    </w:p>
    <w:p w14:paraId="79064399"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 xml:space="preserve">Listado de productos a generar y cantidades de esos productos                </w:t>
      </w:r>
    </w:p>
    <w:p w14:paraId="005C495C" w14:textId="77777777" w:rsidR="00833F63" w:rsidRDefault="00833F63" w:rsidP="00833F63">
      <w:pPr>
        <w:jc w:val="left"/>
        <w:rPr>
          <w:rFonts w:ascii="Times New Roman" w:hAnsi="Times New Roman"/>
          <w:bCs/>
          <w:i/>
          <w:szCs w:val="24"/>
          <w:lang w:eastAsia="es-CO"/>
        </w:rPr>
      </w:pPr>
    </w:p>
    <w:p w14:paraId="6F76FCCD" w14:textId="1657705D"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instrumentos técnicos de evaluación y seguimiento ambiental.</w:t>
      </w:r>
    </w:p>
    <w:p w14:paraId="42CD2F0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lineamientos técnicos para promover la gestión sostenible del suelo.</w:t>
      </w:r>
    </w:p>
    <w:p w14:paraId="5491C648" w14:textId="77777777" w:rsidR="00833F63" w:rsidRDefault="00833F63" w:rsidP="00833F63">
      <w:pPr>
        <w:pStyle w:val="Prrafodelista"/>
        <w:ind w:left="1440"/>
        <w:contextualSpacing/>
        <w:jc w:val="left"/>
        <w:rPr>
          <w:rFonts w:ascii="Times New Roman" w:hAnsi="Times New Roman"/>
          <w:b/>
          <w:bCs/>
          <w:szCs w:val="24"/>
          <w:lang w:eastAsia="es-CO"/>
        </w:rPr>
      </w:pPr>
    </w:p>
    <w:p w14:paraId="77708E78"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Actividades</w:t>
      </w:r>
    </w:p>
    <w:p w14:paraId="34169B63" w14:textId="77777777" w:rsidR="00833F63" w:rsidRDefault="00833F63" w:rsidP="00833F63">
      <w:pPr>
        <w:jc w:val="left"/>
        <w:rPr>
          <w:rFonts w:ascii="Times New Roman" w:hAnsi="Times New Roman"/>
          <w:b/>
          <w:bCs/>
          <w:szCs w:val="24"/>
          <w:lang w:eastAsia="es-CO"/>
        </w:rPr>
      </w:pPr>
    </w:p>
    <w:p w14:paraId="6254004D" w14:textId="54EBD6DA" w:rsidR="00833F63" w:rsidRDefault="00833F63" w:rsidP="005A7F13">
      <w:pPr>
        <w:rPr>
          <w:rFonts w:ascii="Times New Roman" w:hAnsi="Times New Roman"/>
          <w:szCs w:val="24"/>
          <w:lang w:eastAsia="es-CO"/>
        </w:rPr>
      </w:pPr>
      <w:r>
        <w:rPr>
          <w:rFonts w:ascii="Times New Roman" w:hAnsi="Times New Roman"/>
          <w:szCs w:val="24"/>
          <w:lang w:eastAsia="es-CO"/>
        </w:rPr>
        <w:t>De acuerdo con las descrip</w:t>
      </w:r>
      <w:r w:rsidR="00602FEC">
        <w:rPr>
          <w:rFonts w:ascii="Times New Roman" w:hAnsi="Times New Roman"/>
          <w:szCs w:val="24"/>
          <w:lang w:eastAsia="es-CO"/>
        </w:rPr>
        <w:t>ciones detalladas</w:t>
      </w:r>
      <w:r>
        <w:rPr>
          <w:rFonts w:ascii="Times New Roman" w:hAnsi="Times New Roman"/>
          <w:szCs w:val="24"/>
          <w:lang w:eastAsia="es-CO"/>
        </w:rPr>
        <w:t xml:space="preserve"> se enuncian las actividades de ruta crítica establecidas para la cadena de valor en el desarrollo de la alternativa.</w:t>
      </w:r>
    </w:p>
    <w:p w14:paraId="4B9C73EC" w14:textId="77777777" w:rsidR="00833F63" w:rsidRDefault="00833F63" w:rsidP="00833F63">
      <w:pPr>
        <w:pStyle w:val="Prrafodelista"/>
        <w:ind w:left="1440"/>
        <w:contextualSpacing/>
        <w:jc w:val="left"/>
        <w:rPr>
          <w:rFonts w:ascii="Times New Roman" w:hAnsi="Times New Roman"/>
          <w:b/>
          <w:bCs/>
          <w:szCs w:val="24"/>
          <w:lang w:eastAsia="es-CO"/>
        </w:rPr>
      </w:pPr>
    </w:p>
    <w:p w14:paraId="4C17F86E" w14:textId="7944B231" w:rsidR="00833F63" w:rsidRDefault="00664915" w:rsidP="00833F63">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833F63">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4EA269AE" w14:textId="77777777" w:rsidR="00833F63" w:rsidRDefault="00833F63" w:rsidP="00833F63">
      <w:pPr>
        <w:pStyle w:val="Prrafodelista"/>
        <w:ind w:left="851"/>
        <w:contextualSpacing/>
        <w:rPr>
          <w:rFonts w:ascii="Times New Roman" w:hAnsi="Times New Roman"/>
          <w:iCs/>
          <w:szCs w:val="24"/>
          <w:lang w:eastAsia="es-CO"/>
        </w:rPr>
      </w:pPr>
    </w:p>
    <w:p w14:paraId="47BD0A42"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3A3F5BD8" w14:textId="77777777" w:rsidR="00833F63" w:rsidRDefault="00833F63" w:rsidP="00833F63">
      <w:pPr>
        <w:pStyle w:val="Prrafodelista"/>
        <w:rPr>
          <w:rFonts w:ascii="Times New Roman" w:hAnsi="Times New Roman"/>
          <w:iCs/>
          <w:szCs w:val="24"/>
          <w:lang w:eastAsia="es-CO"/>
        </w:rPr>
      </w:pPr>
    </w:p>
    <w:p w14:paraId="2BB34D74"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18AF28C5" w14:textId="77777777" w:rsidR="00833F63" w:rsidRDefault="00833F63" w:rsidP="00833F63">
      <w:pPr>
        <w:pStyle w:val="Prrafodelista"/>
        <w:rPr>
          <w:rFonts w:ascii="Times New Roman" w:hAnsi="Times New Roman"/>
          <w:iCs/>
          <w:szCs w:val="24"/>
          <w:lang w:eastAsia="es-CO"/>
        </w:rPr>
      </w:pPr>
    </w:p>
    <w:p w14:paraId="12BBC7F0"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48F208C5" w14:textId="77777777" w:rsidR="00833F63" w:rsidRDefault="00833F63" w:rsidP="00833F63">
      <w:pPr>
        <w:pStyle w:val="Prrafodelista"/>
        <w:rPr>
          <w:rFonts w:ascii="Times New Roman" w:hAnsi="Times New Roman"/>
          <w:iCs/>
          <w:szCs w:val="24"/>
          <w:lang w:eastAsia="es-CO"/>
        </w:rPr>
      </w:pPr>
    </w:p>
    <w:p w14:paraId="08474B75" w14:textId="77777777" w:rsidR="00833F63" w:rsidRDefault="00833F63" w:rsidP="00833F63">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32266B78" w14:textId="77777777" w:rsidR="00833F63" w:rsidRDefault="00833F63" w:rsidP="00833F63">
      <w:pPr>
        <w:pStyle w:val="Prrafodelista"/>
        <w:ind w:left="1440"/>
        <w:contextualSpacing/>
        <w:jc w:val="left"/>
        <w:rPr>
          <w:rFonts w:ascii="Times New Roman" w:hAnsi="Times New Roman"/>
          <w:b/>
          <w:bCs/>
          <w:szCs w:val="24"/>
          <w:lang w:eastAsia="es-CO"/>
        </w:rPr>
      </w:pPr>
    </w:p>
    <w:p w14:paraId="0A88D1B9" w14:textId="77777777" w:rsidR="005A7F13" w:rsidRPr="00884D51" w:rsidRDefault="005A7F13" w:rsidP="00884D51">
      <w:pPr>
        <w:ind w:left="720" w:hanging="720"/>
        <w:contextualSpacing/>
        <w:jc w:val="left"/>
        <w:rPr>
          <w:rFonts w:ascii="Times New Roman" w:hAnsi="Times New Roman"/>
          <w:b/>
          <w:bCs/>
          <w:szCs w:val="24"/>
          <w:lang w:eastAsia="es-CO"/>
        </w:rPr>
      </w:pPr>
    </w:p>
    <w:p w14:paraId="3DE257F6" w14:textId="77777777" w:rsidR="005A7F13" w:rsidRDefault="005A7F13" w:rsidP="00833F63">
      <w:pPr>
        <w:pStyle w:val="Prrafodelista"/>
        <w:ind w:left="1440"/>
        <w:contextualSpacing/>
        <w:jc w:val="left"/>
        <w:rPr>
          <w:rFonts w:ascii="Times New Roman" w:hAnsi="Times New Roman"/>
          <w:b/>
          <w:bCs/>
          <w:szCs w:val="24"/>
          <w:lang w:eastAsia="es-CO"/>
        </w:rPr>
      </w:pPr>
    </w:p>
    <w:p w14:paraId="2F554339" w14:textId="7D758937" w:rsidR="005A7F13" w:rsidRDefault="005A7F13" w:rsidP="005A7F13">
      <w:pPr>
        <w:rPr>
          <w:rFonts w:ascii="Times New Roman" w:hAnsi="Times New Roman"/>
          <w:szCs w:val="24"/>
          <w:lang w:eastAsia="es-CO"/>
        </w:rPr>
      </w:pPr>
      <w:r w:rsidRPr="005A7F13">
        <w:rPr>
          <w:rFonts w:ascii="Times New Roman" w:hAnsi="Times New Roman"/>
          <w:szCs w:val="24"/>
          <w:lang w:eastAsia="es-CO"/>
        </w:rPr>
        <w:t xml:space="preserve">En cuanto a la actividad “Realizar 215 actividades de evaluación, control y seguimiento como mínimo, a predios identificados como sitios potencialmente contaminados, sitios contaminados o con pasivos ambientales en el Distrito Capital” se precisa que el universo es dinámico y que depende de las solicitudes allegadas por los terceros a la </w:t>
      </w:r>
      <w:proofErr w:type="gramStart"/>
      <w:r w:rsidRPr="005A7F13">
        <w:rPr>
          <w:rFonts w:ascii="Times New Roman" w:hAnsi="Times New Roman"/>
          <w:szCs w:val="24"/>
          <w:lang w:eastAsia="es-CO"/>
        </w:rPr>
        <w:t>Secretaria</w:t>
      </w:r>
      <w:proofErr w:type="gramEnd"/>
      <w:r w:rsidRPr="005A7F13">
        <w:rPr>
          <w:rFonts w:ascii="Times New Roman" w:hAnsi="Times New Roman"/>
          <w:szCs w:val="24"/>
          <w:lang w:eastAsia="es-CO"/>
        </w:rPr>
        <w:t xml:space="preserve"> Distrital de Ambiente.</w:t>
      </w:r>
      <w:r>
        <w:rPr>
          <w:rFonts w:ascii="Times New Roman" w:hAnsi="Times New Roman"/>
          <w:szCs w:val="24"/>
          <w:lang w:eastAsia="es-CO"/>
        </w:rPr>
        <w:t xml:space="preserve"> Con base en ello se relaciona a continuación el universo de usuarios de referencia para el año 2020, el cual está sujeto a modificaciones en la medida que avanza la ejecución del proyecto.</w:t>
      </w:r>
    </w:p>
    <w:p w14:paraId="211DF09A" w14:textId="77777777" w:rsidR="005A7F13" w:rsidRDefault="005A7F13" w:rsidP="005A7F13">
      <w:pPr>
        <w:rPr>
          <w:rFonts w:ascii="Times New Roman" w:hAnsi="Times New Roman"/>
          <w:szCs w:val="24"/>
          <w:lang w:eastAsia="es-CO"/>
        </w:rPr>
      </w:pPr>
    </w:p>
    <w:p w14:paraId="14A413E6" w14:textId="0D01683C" w:rsidR="005A7F13" w:rsidRDefault="005A7F13" w:rsidP="005A7F13">
      <w:pPr>
        <w:jc w:val="center"/>
        <w:rPr>
          <w:rFonts w:ascii="Times New Roman" w:hAnsi="Times New Roman"/>
          <w:szCs w:val="24"/>
          <w:lang w:eastAsia="es-CO"/>
        </w:rPr>
      </w:pPr>
      <w:r>
        <w:rPr>
          <w:rFonts w:ascii="Times New Roman" w:hAnsi="Times New Roman"/>
          <w:szCs w:val="24"/>
          <w:lang w:eastAsia="es-CO"/>
        </w:rPr>
        <w:t>Tabla 16. Universo predios suelos contaminados – Vigencia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6"/>
        <w:gridCol w:w="2228"/>
        <w:gridCol w:w="2289"/>
      </w:tblGrid>
      <w:tr w:rsidR="005A7F13" w:rsidRPr="006C52A2" w14:paraId="6057EE32" w14:textId="77777777" w:rsidTr="005A7F13">
        <w:trPr>
          <w:trHeight w:val="348"/>
        </w:trPr>
        <w:tc>
          <w:tcPr>
            <w:tcW w:w="2559" w:type="pct"/>
            <w:shd w:val="clear" w:color="auto" w:fill="BFBFBF" w:themeFill="background1" w:themeFillShade="BF"/>
            <w:tcMar>
              <w:top w:w="15" w:type="dxa"/>
              <w:left w:w="108" w:type="dxa"/>
              <w:bottom w:w="0" w:type="dxa"/>
              <w:right w:w="108" w:type="dxa"/>
            </w:tcMar>
            <w:vAlign w:val="center"/>
            <w:hideMark/>
          </w:tcPr>
          <w:p w14:paraId="7E55BB1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Actividad</w:t>
            </w:r>
          </w:p>
        </w:tc>
        <w:tc>
          <w:tcPr>
            <w:tcW w:w="1204" w:type="pct"/>
            <w:shd w:val="clear" w:color="auto" w:fill="BFBFBF" w:themeFill="background1" w:themeFillShade="BF"/>
            <w:tcMar>
              <w:top w:w="15" w:type="dxa"/>
              <w:left w:w="108" w:type="dxa"/>
              <w:bottom w:w="0" w:type="dxa"/>
              <w:right w:w="108" w:type="dxa"/>
            </w:tcMar>
            <w:vAlign w:val="center"/>
            <w:hideMark/>
          </w:tcPr>
          <w:p w14:paraId="39F87DD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Predios</w:t>
            </w:r>
          </w:p>
        </w:tc>
        <w:tc>
          <w:tcPr>
            <w:tcW w:w="1237" w:type="pct"/>
            <w:shd w:val="clear" w:color="auto" w:fill="BFBFBF" w:themeFill="background1" w:themeFillShade="BF"/>
            <w:tcMar>
              <w:top w:w="15" w:type="dxa"/>
              <w:left w:w="108" w:type="dxa"/>
              <w:bottom w:w="0" w:type="dxa"/>
              <w:right w:w="108" w:type="dxa"/>
            </w:tcMar>
            <w:vAlign w:val="center"/>
            <w:hideMark/>
          </w:tcPr>
          <w:p w14:paraId="0D00520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Usuarios</w:t>
            </w:r>
          </w:p>
        </w:tc>
      </w:tr>
      <w:tr w:rsidR="005A7F13" w:rsidRPr="006C52A2" w14:paraId="5978CC20" w14:textId="77777777" w:rsidTr="005A7F13">
        <w:trPr>
          <w:trHeight w:val="348"/>
        </w:trPr>
        <w:tc>
          <w:tcPr>
            <w:tcW w:w="2559" w:type="pct"/>
            <w:shd w:val="clear" w:color="auto" w:fill="auto"/>
            <w:tcMar>
              <w:top w:w="15" w:type="dxa"/>
              <w:left w:w="108" w:type="dxa"/>
              <w:bottom w:w="0" w:type="dxa"/>
              <w:right w:w="108" w:type="dxa"/>
            </w:tcMar>
            <w:vAlign w:val="center"/>
            <w:hideMark/>
          </w:tcPr>
          <w:p w14:paraId="2859E69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Desmantelamiento de instalaciones</w:t>
            </w:r>
          </w:p>
        </w:tc>
        <w:tc>
          <w:tcPr>
            <w:tcW w:w="1204" w:type="pct"/>
            <w:shd w:val="clear" w:color="auto" w:fill="auto"/>
            <w:tcMar>
              <w:top w:w="15" w:type="dxa"/>
              <w:left w:w="108" w:type="dxa"/>
              <w:bottom w:w="0" w:type="dxa"/>
              <w:right w:w="108" w:type="dxa"/>
            </w:tcMar>
            <w:vAlign w:val="center"/>
            <w:hideMark/>
          </w:tcPr>
          <w:p w14:paraId="1BEFA39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87</w:t>
            </w:r>
          </w:p>
        </w:tc>
        <w:tc>
          <w:tcPr>
            <w:tcW w:w="1237" w:type="pct"/>
            <w:shd w:val="clear" w:color="auto" w:fill="auto"/>
            <w:tcMar>
              <w:top w:w="15" w:type="dxa"/>
              <w:left w:w="108" w:type="dxa"/>
              <w:bottom w:w="0" w:type="dxa"/>
              <w:right w:w="108" w:type="dxa"/>
            </w:tcMar>
            <w:vAlign w:val="center"/>
            <w:hideMark/>
          </w:tcPr>
          <w:p w14:paraId="5364B4CC"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69</w:t>
            </w:r>
          </w:p>
        </w:tc>
      </w:tr>
      <w:tr w:rsidR="005A7F13" w:rsidRPr="006C52A2" w14:paraId="3575F144" w14:textId="77777777" w:rsidTr="005A7F13">
        <w:trPr>
          <w:trHeight w:val="696"/>
        </w:trPr>
        <w:tc>
          <w:tcPr>
            <w:tcW w:w="2559" w:type="pct"/>
            <w:shd w:val="clear" w:color="auto" w:fill="auto"/>
            <w:tcMar>
              <w:top w:w="15" w:type="dxa"/>
              <w:left w:w="108" w:type="dxa"/>
              <w:bottom w:w="0" w:type="dxa"/>
              <w:right w:w="108" w:type="dxa"/>
            </w:tcMar>
            <w:vAlign w:val="center"/>
            <w:hideMark/>
          </w:tcPr>
          <w:p w14:paraId="0A3BD58C"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Intervención directa, monitoreo y desmantelamiento</w:t>
            </w:r>
          </w:p>
        </w:tc>
        <w:tc>
          <w:tcPr>
            <w:tcW w:w="1204" w:type="pct"/>
            <w:shd w:val="clear" w:color="auto" w:fill="auto"/>
            <w:tcMar>
              <w:top w:w="15" w:type="dxa"/>
              <w:left w:w="108" w:type="dxa"/>
              <w:bottom w:w="0" w:type="dxa"/>
              <w:right w:w="108" w:type="dxa"/>
            </w:tcMar>
            <w:vAlign w:val="center"/>
            <w:hideMark/>
          </w:tcPr>
          <w:p w14:paraId="347C213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14</w:t>
            </w:r>
          </w:p>
        </w:tc>
        <w:tc>
          <w:tcPr>
            <w:tcW w:w="1237" w:type="pct"/>
            <w:shd w:val="clear" w:color="auto" w:fill="auto"/>
            <w:tcMar>
              <w:top w:w="15" w:type="dxa"/>
              <w:left w:w="108" w:type="dxa"/>
              <w:bottom w:w="0" w:type="dxa"/>
              <w:right w:w="108" w:type="dxa"/>
            </w:tcMar>
            <w:vAlign w:val="center"/>
            <w:hideMark/>
          </w:tcPr>
          <w:p w14:paraId="1914290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13</w:t>
            </w:r>
          </w:p>
        </w:tc>
      </w:tr>
      <w:tr w:rsidR="005A7F13" w:rsidRPr="006C52A2" w14:paraId="0073CC90" w14:textId="77777777" w:rsidTr="005A7F13">
        <w:trPr>
          <w:trHeight w:val="348"/>
        </w:trPr>
        <w:tc>
          <w:tcPr>
            <w:tcW w:w="2559" w:type="pct"/>
            <w:shd w:val="clear" w:color="auto" w:fill="auto"/>
            <w:tcMar>
              <w:top w:w="15" w:type="dxa"/>
              <w:left w:w="108" w:type="dxa"/>
              <w:bottom w:w="0" w:type="dxa"/>
              <w:right w:w="108" w:type="dxa"/>
            </w:tcMar>
            <w:vAlign w:val="center"/>
            <w:hideMark/>
          </w:tcPr>
          <w:p w14:paraId="08B598B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w:t>
            </w:r>
          </w:p>
        </w:tc>
        <w:tc>
          <w:tcPr>
            <w:tcW w:w="1204" w:type="pct"/>
            <w:shd w:val="clear" w:color="auto" w:fill="auto"/>
            <w:tcMar>
              <w:top w:w="15" w:type="dxa"/>
              <w:left w:w="108" w:type="dxa"/>
              <w:bottom w:w="0" w:type="dxa"/>
              <w:right w:w="108" w:type="dxa"/>
            </w:tcMar>
            <w:vAlign w:val="center"/>
            <w:hideMark/>
          </w:tcPr>
          <w:p w14:paraId="39B17F1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67</w:t>
            </w:r>
          </w:p>
        </w:tc>
        <w:tc>
          <w:tcPr>
            <w:tcW w:w="1237" w:type="pct"/>
            <w:shd w:val="clear" w:color="auto" w:fill="auto"/>
            <w:tcMar>
              <w:top w:w="15" w:type="dxa"/>
              <w:left w:w="108" w:type="dxa"/>
              <w:bottom w:w="0" w:type="dxa"/>
              <w:right w:w="108" w:type="dxa"/>
            </w:tcMar>
            <w:vAlign w:val="center"/>
            <w:hideMark/>
          </w:tcPr>
          <w:p w14:paraId="6965C64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r>
      <w:tr w:rsidR="005A7F13" w:rsidRPr="006C52A2" w14:paraId="55CEFBA9" w14:textId="77777777" w:rsidTr="005A7F13">
        <w:trPr>
          <w:trHeight w:val="348"/>
        </w:trPr>
        <w:tc>
          <w:tcPr>
            <w:tcW w:w="2559" w:type="pct"/>
            <w:shd w:val="clear" w:color="auto" w:fill="auto"/>
            <w:tcMar>
              <w:top w:w="15" w:type="dxa"/>
              <w:left w:w="108" w:type="dxa"/>
              <w:bottom w:w="0" w:type="dxa"/>
              <w:right w:w="108" w:type="dxa"/>
            </w:tcMar>
            <w:vAlign w:val="center"/>
            <w:hideMark/>
          </w:tcPr>
          <w:p w14:paraId="757B6A14"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 y Desmantelamiento</w:t>
            </w:r>
          </w:p>
        </w:tc>
        <w:tc>
          <w:tcPr>
            <w:tcW w:w="1204" w:type="pct"/>
            <w:shd w:val="clear" w:color="auto" w:fill="auto"/>
            <w:tcMar>
              <w:top w:w="15" w:type="dxa"/>
              <w:left w:w="108" w:type="dxa"/>
              <w:bottom w:w="0" w:type="dxa"/>
              <w:right w:w="108" w:type="dxa"/>
            </w:tcMar>
            <w:vAlign w:val="center"/>
            <w:hideMark/>
          </w:tcPr>
          <w:p w14:paraId="1AA1833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c>
          <w:tcPr>
            <w:tcW w:w="1237" w:type="pct"/>
            <w:shd w:val="clear" w:color="auto" w:fill="auto"/>
            <w:tcMar>
              <w:top w:w="15" w:type="dxa"/>
              <w:left w:w="108" w:type="dxa"/>
              <w:bottom w:w="0" w:type="dxa"/>
              <w:right w:w="108" w:type="dxa"/>
            </w:tcMar>
            <w:vAlign w:val="center"/>
            <w:hideMark/>
          </w:tcPr>
          <w:p w14:paraId="4132D2D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28</w:t>
            </w:r>
          </w:p>
        </w:tc>
      </w:tr>
      <w:tr w:rsidR="005A7F13" w:rsidRPr="006C52A2" w14:paraId="7E83BB9B" w14:textId="77777777" w:rsidTr="005A7F13">
        <w:trPr>
          <w:trHeight w:val="348"/>
        </w:trPr>
        <w:tc>
          <w:tcPr>
            <w:tcW w:w="2559" w:type="pct"/>
            <w:shd w:val="clear" w:color="auto" w:fill="auto"/>
            <w:tcMar>
              <w:top w:w="15" w:type="dxa"/>
              <w:left w:w="108" w:type="dxa"/>
              <w:bottom w:w="0" w:type="dxa"/>
              <w:right w:w="108" w:type="dxa"/>
            </w:tcMar>
            <w:vAlign w:val="center"/>
            <w:hideMark/>
          </w:tcPr>
          <w:p w14:paraId="00996AC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Remediación</w:t>
            </w:r>
          </w:p>
        </w:tc>
        <w:tc>
          <w:tcPr>
            <w:tcW w:w="1204" w:type="pct"/>
            <w:shd w:val="clear" w:color="auto" w:fill="auto"/>
            <w:tcMar>
              <w:top w:w="15" w:type="dxa"/>
              <w:left w:w="108" w:type="dxa"/>
              <w:bottom w:w="0" w:type="dxa"/>
              <w:right w:w="108" w:type="dxa"/>
            </w:tcMar>
            <w:vAlign w:val="center"/>
            <w:hideMark/>
          </w:tcPr>
          <w:p w14:paraId="18A1E26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10</w:t>
            </w:r>
          </w:p>
        </w:tc>
        <w:tc>
          <w:tcPr>
            <w:tcW w:w="1237" w:type="pct"/>
            <w:shd w:val="clear" w:color="auto" w:fill="auto"/>
            <w:tcMar>
              <w:top w:w="15" w:type="dxa"/>
              <w:left w:w="108" w:type="dxa"/>
              <w:bottom w:w="0" w:type="dxa"/>
              <w:right w:w="108" w:type="dxa"/>
            </w:tcMar>
            <w:vAlign w:val="center"/>
            <w:hideMark/>
          </w:tcPr>
          <w:p w14:paraId="157682C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74B70F89"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1EC1316B" w14:textId="77777777" w:rsidR="005A7F13" w:rsidRPr="005A7F13" w:rsidRDefault="005A7F13" w:rsidP="005A7F13">
            <w:pPr>
              <w:jc w:val="center"/>
              <w:rPr>
                <w:rFonts w:ascii="Times New Roman" w:hAnsi="Times New Roman"/>
                <w:sz w:val="20"/>
                <w:lang w:val="en-US"/>
              </w:rPr>
            </w:pPr>
            <w:proofErr w:type="gramStart"/>
            <w:r w:rsidRPr="005A7F13">
              <w:rPr>
                <w:rFonts w:ascii="Times New Roman" w:hAnsi="Times New Roman"/>
                <w:b/>
                <w:bCs/>
                <w:kern w:val="24"/>
                <w:sz w:val="20"/>
              </w:rPr>
              <w:t>Total</w:t>
            </w:r>
            <w:proofErr w:type="gramEnd"/>
            <w:r w:rsidRPr="005A7F13">
              <w:rPr>
                <w:rFonts w:ascii="Times New Roman" w:hAnsi="Times New Roman"/>
                <w:b/>
                <w:bCs/>
                <w:kern w:val="24"/>
                <w:sz w:val="20"/>
              </w:rPr>
              <w:t xml:space="preserve"> Plan de Desarrollo</w:t>
            </w:r>
          </w:p>
        </w:tc>
        <w:tc>
          <w:tcPr>
            <w:tcW w:w="1204" w:type="pct"/>
            <w:shd w:val="clear" w:color="auto" w:fill="E7E6E6" w:themeFill="background2"/>
            <w:tcMar>
              <w:top w:w="15" w:type="dxa"/>
              <w:left w:w="108" w:type="dxa"/>
              <w:bottom w:w="0" w:type="dxa"/>
              <w:right w:w="108" w:type="dxa"/>
            </w:tcMar>
            <w:vAlign w:val="center"/>
            <w:hideMark/>
          </w:tcPr>
          <w:p w14:paraId="74919ABA"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215</w:t>
            </w:r>
          </w:p>
        </w:tc>
        <w:tc>
          <w:tcPr>
            <w:tcW w:w="1237" w:type="pct"/>
            <w:shd w:val="clear" w:color="auto" w:fill="E7E6E6" w:themeFill="background2"/>
            <w:tcMar>
              <w:top w:w="15" w:type="dxa"/>
              <w:left w:w="108" w:type="dxa"/>
              <w:bottom w:w="0" w:type="dxa"/>
              <w:right w:w="108" w:type="dxa"/>
            </w:tcMar>
            <w:vAlign w:val="center"/>
            <w:hideMark/>
          </w:tcPr>
          <w:p w14:paraId="10E9CF01"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151</w:t>
            </w:r>
          </w:p>
        </w:tc>
      </w:tr>
      <w:tr w:rsidR="005A7F13" w:rsidRPr="006C52A2" w14:paraId="097B684B" w14:textId="77777777" w:rsidTr="005A7F13">
        <w:trPr>
          <w:trHeight w:val="696"/>
        </w:trPr>
        <w:tc>
          <w:tcPr>
            <w:tcW w:w="2559" w:type="pct"/>
            <w:shd w:val="clear" w:color="auto" w:fill="auto"/>
            <w:tcMar>
              <w:top w:w="15" w:type="dxa"/>
              <w:left w:w="108" w:type="dxa"/>
              <w:bottom w:w="0" w:type="dxa"/>
              <w:right w:w="108" w:type="dxa"/>
            </w:tcMar>
            <w:vAlign w:val="center"/>
            <w:hideMark/>
          </w:tcPr>
          <w:p w14:paraId="2DDBE11F"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Desmantelamiento de instalaciones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hideMark/>
          </w:tcPr>
          <w:p w14:paraId="675840E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w:t>
            </w:r>
          </w:p>
        </w:tc>
        <w:tc>
          <w:tcPr>
            <w:tcW w:w="1237" w:type="pct"/>
            <w:shd w:val="clear" w:color="auto" w:fill="auto"/>
            <w:tcMar>
              <w:top w:w="15" w:type="dxa"/>
              <w:left w:w="108" w:type="dxa"/>
              <w:bottom w:w="0" w:type="dxa"/>
              <w:right w:w="108" w:type="dxa"/>
            </w:tcMar>
            <w:vAlign w:val="center"/>
            <w:hideMark/>
          </w:tcPr>
          <w:p w14:paraId="3FBE7A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2AF810AC" w14:textId="77777777" w:rsidTr="005A7F13">
        <w:trPr>
          <w:trHeight w:val="696"/>
        </w:trPr>
        <w:tc>
          <w:tcPr>
            <w:tcW w:w="2559" w:type="pct"/>
            <w:shd w:val="clear" w:color="auto" w:fill="auto"/>
            <w:tcMar>
              <w:top w:w="15" w:type="dxa"/>
              <w:left w:w="108" w:type="dxa"/>
              <w:bottom w:w="0" w:type="dxa"/>
              <w:right w:w="108" w:type="dxa"/>
            </w:tcMar>
            <w:vAlign w:val="center"/>
          </w:tcPr>
          <w:p w14:paraId="5E5CC515"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EDS desmantelada sin información de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2801AD8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7</w:t>
            </w:r>
          </w:p>
        </w:tc>
        <w:tc>
          <w:tcPr>
            <w:tcW w:w="1237" w:type="pct"/>
            <w:shd w:val="clear" w:color="auto" w:fill="auto"/>
            <w:tcMar>
              <w:top w:w="15" w:type="dxa"/>
              <w:left w:w="108" w:type="dxa"/>
              <w:bottom w:w="0" w:type="dxa"/>
              <w:right w:w="108" w:type="dxa"/>
            </w:tcMar>
            <w:vAlign w:val="center"/>
          </w:tcPr>
          <w:p w14:paraId="636B6B1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w:t>
            </w:r>
          </w:p>
        </w:tc>
      </w:tr>
      <w:tr w:rsidR="005A7F13" w:rsidRPr="006C52A2" w14:paraId="1326DFE6" w14:textId="77777777" w:rsidTr="005A7F13">
        <w:trPr>
          <w:trHeight w:val="696"/>
        </w:trPr>
        <w:tc>
          <w:tcPr>
            <w:tcW w:w="2559" w:type="pct"/>
            <w:shd w:val="clear" w:color="auto" w:fill="auto"/>
            <w:tcMar>
              <w:top w:w="15" w:type="dxa"/>
              <w:left w:w="108" w:type="dxa"/>
              <w:bottom w:w="0" w:type="dxa"/>
              <w:right w:w="108" w:type="dxa"/>
            </w:tcMar>
            <w:vAlign w:val="center"/>
          </w:tcPr>
          <w:p w14:paraId="09A45C9F" w14:textId="77777777" w:rsidR="005A7F13" w:rsidRPr="005A7F13" w:rsidRDefault="005A7F13" w:rsidP="005A7F13">
            <w:pPr>
              <w:jc w:val="center"/>
              <w:rPr>
                <w:rFonts w:ascii="Times New Roman" w:hAnsi="Times New Roman"/>
                <w:b/>
                <w:bCs/>
                <w:kern w:val="24"/>
                <w:sz w:val="20"/>
                <w:u w:val="single"/>
              </w:rPr>
            </w:pPr>
            <w:r w:rsidRPr="005A7F13">
              <w:rPr>
                <w:rFonts w:ascii="Times New Roman" w:hAnsi="Times New Roman"/>
                <w:b/>
                <w:bCs/>
                <w:kern w:val="24"/>
                <w:sz w:val="20"/>
              </w:rPr>
              <w:t>Investigación</w:t>
            </w:r>
            <w:r w:rsidRPr="005A7F13">
              <w:rPr>
                <w:rFonts w:ascii="Times New Roman" w:hAnsi="Times New Roman"/>
                <w:b/>
                <w:bCs/>
                <w:kern w:val="24"/>
                <w:sz w:val="20"/>
                <w:u w:val="single"/>
              </w:rPr>
              <w:t xml:space="preserve"> usuario nuevo</w:t>
            </w:r>
          </w:p>
        </w:tc>
        <w:tc>
          <w:tcPr>
            <w:tcW w:w="1204" w:type="pct"/>
            <w:shd w:val="clear" w:color="auto" w:fill="auto"/>
            <w:tcMar>
              <w:top w:w="15" w:type="dxa"/>
              <w:left w:w="108" w:type="dxa"/>
              <w:bottom w:w="0" w:type="dxa"/>
              <w:right w:w="108" w:type="dxa"/>
            </w:tcMar>
            <w:vAlign w:val="center"/>
          </w:tcPr>
          <w:p w14:paraId="0181F3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c>
          <w:tcPr>
            <w:tcW w:w="1237" w:type="pct"/>
            <w:shd w:val="clear" w:color="auto" w:fill="auto"/>
            <w:tcMar>
              <w:top w:w="15" w:type="dxa"/>
              <w:left w:w="108" w:type="dxa"/>
              <w:bottom w:w="0" w:type="dxa"/>
              <w:right w:w="108" w:type="dxa"/>
            </w:tcMar>
            <w:vAlign w:val="center"/>
          </w:tcPr>
          <w:p w14:paraId="71743BC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r>
      <w:tr w:rsidR="005A7F13" w:rsidRPr="006C52A2" w14:paraId="39B0E9DE" w14:textId="77777777" w:rsidTr="005A7F13">
        <w:trPr>
          <w:trHeight w:val="696"/>
        </w:trPr>
        <w:tc>
          <w:tcPr>
            <w:tcW w:w="2559" w:type="pct"/>
            <w:shd w:val="clear" w:color="auto" w:fill="auto"/>
            <w:tcMar>
              <w:top w:w="15" w:type="dxa"/>
              <w:left w:w="108" w:type="dxa"/>
              <w:bottom w:w="0" w:type="dxa"/>
              <w:right w:w="108" w:type="dxa"/>
            </w:tcMar>
            <w:vAlign w:val="center"/>
          </w:tcPr>
          <w:p w14:paraId="55683107"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Investigación y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192DB568"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c>
          <w:tcPr>
            <w:tcW w:w="1237" w:type="pct"/>
            <w:shd w:val="clear" w:color="auto" w:fill="auto"/>
            <w:tcMar>
              <w:top w:w="15" w:type="dxa"/>
              <w:left w:w="108" w:type="dxa"/>
              <w:bottom w:w="0" w:type="dxa"/>
              <w:right w:w="108" w:type="dxa"/>
            </w:tcMar>
            <w:vAlign w:val="center"/>
          </w:tcPr>
          <w:p w14:paraId="099524C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r>
      <w:tr w:rsidR="005A7F13" w:rsidRPr="006C52A2" w14:paraId="082370FD"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5308C1FD" w14:textId="77777777" w:rsidR="005A7F13" w:rsidRPr="005A7F13" w:rsidRDefault="005A7F13" w:rsidP="005A7F13">
            <w:pPr>
              <w:jc w:val="center"/>
              <w:rPr>
                <w:rFonts w:ascii="Times New Roman" w:hAnsi="Times New Roman"/>
                <w:b/>
                <w:sz w:val="20"/>
                <w:lang w:val="en-US"/>
              </w:rPr>
            </w:pPr>
            <w:proofErr w:type="gramStart"/>
            <w:r w:rsidRPr="005A7F13">
              <w:rPr>
                <w:rFonts w:ascii="Times New Roman" w:hAnsi="Times New Roman"/>
                <w:b/>
                <w:bCs/>
                <w:kern w:val="24"/>
                <w:sz w:val="20"/>
              </w:rPr>
              <w:t>Total</w:t>
            </w:r>
            <w:proofErr w:type="gramEnd"/>
            <w:r w:rsidRPr="005A7F13">
              <w:rPr>
                <w:rFonts w:ascii="Times New Roman" w:hAnsi="Times New Roman"/>
                <w:b/>
                <w:bCs/>
                <w:kern w:val="24"/>
                <w:sz w:val="20"/>
              </w:rPr>
              <w:t xml:space="preserve"> Usuarios Nuevos (2020)</w:t>
            </w:r>
          </w:p>
        </w:tc>
        <w:tc>
          <w:tcPr>
            <w:tcW w:w="1204" w:type="pct"/>
            <w:shd w:val="clear" w:color="auto" w:fill="E7E6E6" w:themeFill="background2"/>
            <w:tcMar>
              <w:top w:w="15" w:type="dxa"/>
              <w:left w:w="108" w:type="dxa"/>
              <w:bottom w:w="0" w:type="dxa"/>
              <w:right w:w="108" w:type="dxa"/>
            </w:tcMar>
            <w:vAlign w:val="center"/>
            <w:hideMark/>
          </w:tcPr>
          <w:p w14:paraId="1206E6A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20</w:t>
            </w:r>
          </w:p>
        </w:tc>
        <w:tc>
          <w:tcPr>
            <w:tcW w:w="1237" w:type="pct"/>
            <w:shd w:val="clear" w:color="auto" w:fill="E7E6E6" w:themeFill="background2"/>
            <w:tcMar>
              <w:top w:w="15" w:type="dxa"/>
              <w:left w:w="108" w:type="dxa"/>
              <w:bottom w:w="0" w:type="dxa"/>
              <w:right w:w="108" w:type="dxa"/>
            </w:tcMar>
            <w:vAlign w:val="center"/>
            <w:hideMark/>
          </w:tcPr>
          <w:p w14:paraId="2DCC0D35"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14</w:t>
            </w:r>
          </w:p>
        </w:tc>
      </w:tr>
      <w:tr w:rsidR="005A7F13" w:rsidRPr="006C52A2" w14:paraId="44424733" w14:textId="77777777" w:rsidTr="005A7F13">
        <w:trPr>
          <w:trHeight w:val="760"/>
        </w:trPr>
        <w:tc>
          <w:tcPr>
            <w:tcW w:w="2559" w:type="pct"/>
            <w:shd w:val="clear" w:color="auto" w:fill="E7E6E6" w:themeFill="background2"/>
            <w:tcMar>
              <w:top w:w="15" w:type="dxa"/>
              <w:left w:w="108" w:type="dxa"/>
              <w:bottom w:w="0" w:type="dxa"/>
              <w:right w:w="108" w:type="dxa"/>
            </w:tcMar>
            <w:vAlign w:val="center"/>
            <w:hideMark/>
          </w:tcPr>
          <w:p w14:paraId="52B25F5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Universo Suelos Contaminados (2020)</w:t>
            </w:r>
          </w:p>
        </w:tc>
        <w:tc>
          <w:tcPr>
            <w:tcW w:w="1204" w:type="pct"/>
            <w:shd w:val="clear" w:color="auto" w:fill="E7E6E6" w:themeFill="background2"/>
            <w:tcMar>
              <w:top w:w="15" w:type="dxa"/>
              <w:left w:w="108" w:type="dxa"/>
              <w:bottom w:w="0" w:type="dxa"/>
              <w:right w:w="108" w:type="dxa"/>
            </w:tcMar>
            <w:vAlign w:val="center"/>
            <w:hideMark/>
          </w:tcPr>
          <w:p w14:paraId="2001819A"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235</w:t>
            </w:r>
          </w:p>
        </w:tc>
        <w:tc>
          <w:tcPr>
            <w:tcW w:w="1237" w:type="pct"/>
            <w:shd w:val="clear" w:color="auto" w:fill="E7E6E6" w:themeFill="background2"/>
            <w:tcMar>
              <w:top w:w="15" w:type="dxa"/>
              <w:left w:w="108" w:type="dxa"/>
              <w:bottom w:w="0" w:type="dxa"/>
              <w:right w:w="108" w:type="dxa"/>
            </w:tcMar>
            <w:vAlign w:val="center"/>
            <w:hideMark/>
          </w:tcPr>
          <w:p w14:paraId="74D5AC5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165</w:t>
            </w:r>
          </w:p>
        </w:tc>
      </w:tr>
    </w:tbl>
    <w:p w14:paraId="759C0AC2" w14:textId="77777777" w:rsidR="005A7F13" w:rsidRPr="005A7F13" w:rsidRDefault="005A7F13" w:rsidP="005A7F13">
      <w:pPr>
        <w:rPr>
          <w:rFonts w:ascii="Times New Roman" w:hAnsi="Times New Roman"/>
          <w:szCs w:val="24"/>
          <w:lang w:eastAsia="es-CO"/>
        </w:rPr>
      </w:pPr>
    </w:p>
    <w:p w14:paraId="06F5BBA1" w14:textId="77777777" w:rsidR="00833F63" w:rsidRDefault="00833F63" w:rsidP="00833F63">
      <w:pPr>
        <w:pStyle w:val="Prrafodelista"/>
        <w:ind w:left="1440"/>
        <w:contextualSpacing/>
        <w:jc w:val="left"/>
        <w:rPr>
          <w:rFonts w:ascii="Times New Roman" w:hAnsi="Times New Roman"/>
          <w:b/>
          <w:bCs/>
          <w:szCs w:val="24"/>
          <w:lang w:eastAsia="es-CO"/>
        </w:rPr>
      </w:pPr>
    </w:p>
    <w:p w14:paraId="1C2BCB95" w14:textId="77777777" w:rsidR="00833F63" w:rsidRDefault="00833F63" w:rsidP="00833F63">
      <w:pPr>
        <w:pStyle w:val="Prrafodelista"/>
        <w:ind w:left="1440"/>
        <w:contextualSpacing/>
        <w:jc w:val="left"/>
        <w:rPr>
          <w:rFonts w:ascii="Times New Roman" w:hAnsi="Times New Roman"/>
          <w:b/>
          <w:bCs/>
          <w:szCs w:val="24"/>
          <w:lang w:eastAsia="es-CO"/>
        </w:rPr>
      </w:pPr>
    </w:p>
    <w:p w14:paraId="572DE087" w14:textId="77777777" w:rsidR="00833F63" w:rsidRDefault="00833F63" w:rsidP="00833F63">
      <w:pPr>
        <w:pStyle w:val="Prrafodelista"/>
        <w:ind w:left="1440"/>
        <w:contextualSpacing/>
        <w:jc w:val="left"/>
        <w:rPr>
          <w:rFonts w:ascii="Times New Roman" w:hAnsi="Times New Roman"/>
          <w:b/>
          <w:bCs/>
          <w:szCs w:val="24"/>
          <w:lang w:eastAsia="es-CO"/>
        </w:rPr>
      </w:pPr>
    </w:p>
    <w:p w14:paraId="160B8D3D" w14:textId="77777777" w:rsidR="00833F63" w:rsidRDefault="00833F63" w:rsidP="00833F63">
      <w:pPr>
        <w:jc w:val="left"/>
        <w:rPr>
          <w:rFonts w:ascii="Times New Roman" w:hAnsi="Times New Roman"/>
          <w:b/>
          <w:bCs/>
          <w:szCs w:val="24"/>
          <w:lang w:eastAsia="es-CO"/>
        </w:rPr>
        <w:sectPr w:rsidR="00833F63">
          <w:pgSz w:w="12240" w:h="15840"/>
          <w:pgMar w:top="1418" w:right="1276" w:bottom="992" w:left="1701" w:header="709" w:footer="709" w:gutter="0"/>
          <w:cols w:space="720"/>
        </w:sectPr>
      </w:pPr>
    </w:p>
    <w:p w14:paraId="543609BE" w14:textId="762B9D3D" w:rsidR="00833F63" w:rsidRDefault="005A7F13" w:rsidP="00833F63">
      <w:pPr>
        <w:pStyle w:val="Prrafodelista"/>
        <w:ind w:left="1440"/>
        <w:contextualSpacing/>
        <w:jc w:val="center"/>
        <w:rPr>
          <w:rFonts w:ascii="Times New Roman" w:hAnsi="Times New Roman"/>
          <w:sz w:val="22"/>
          <w:szCs w:val="22"/>
          <w:lang w:eastAsia="es-CO"/>
        </w:rPr>
      </w:pPr>
      <w:r>
        <w:rPr>
          <w:rFonts w:ascii="Times New Roman" w:hAnsi="Times New Roman"/>
          <w:sz w:val="22"/>
          <w:szCs w:val="22"/>
          <w:lang w:eastAsia="es-CO"/>
        </w:rPr>
        <w:lastRenderedPageBreak/>
        <w:t>Tabla 17</w:t>
      </w:r>
      <w:r w:rsidR="00833F63">
        <w:rPr>
          <w:rFonts w:ascii="Times New Roman" w:hAnsi="Times New Roman"/>
          <w:sz w:val="22"/>
          <w:szCs w:val="22"/>
          <w:lang w:eastAsia="es-CO"/>
        </w:rPr>
        <w:t>. Cadena de valor</w:t>
      </w:r>
    </w:p>
    <w:p w14:paraId="138D715A" w14:textId="77777777" w:rsidR="0053107F" w:rsidRPr="00E51FB0" w:rsidRDefault="0053107F" w:rsidP="0053107F">
      <w:pPr>
        <w:jc w:val="right"/>
        <w:rPr>
          <w:rFonts w:ascii="Times New Roman" w:hAnsi="Times New Roman"/>
          <w:b/>
          <w:sz w:val="20"/>
        </w:rPr>
      </w:pPr>
      <w:r w:rsidRPr="00E51FB0">
        <w:rPr>
          <w:rFonts w:ascii="Times New Roman" w:hAnsi="Times New Roman"/>
          <w:b/>
          <w:sz w:val="20"/>
        </w:rPr>
        <w:t xml:space="preserve">Cifras en millones de pesos </w:t>
      </w:r>
    </w:p>
    <w:tbl>
      <w:tblPr>
        <w:tblW w:w="14517" w:type="dxa"/>
        <w:tblInd w:w="-744" w:type="dxa"/>
        <w:tblCellMar>
          <w:left w:w="70" w:type="dxa"/>
          <w:right w:w="70" w:type="dxa"/>
        </w:tblCellMar>
        <w:tblLook w:val="04A0" w:firstRow="1" w:lastRow="0" w:firstColumn="1" w:lastColumn="0" w:noHBand="0" w:noVBand="1"/>
      </w:tblPr>
      <w:tblGrid>
        <w:gridCol w:w="1413"/>
        <w:gridCol w:w="1415"/>
        <w:gridCol w:w="1413"/>
        <w:gridCol w:w="1415"/>
        <w:gridCol w:w="731"/>
        <w:gridCol w:w="2260"/>
        <w:gridCol w:w="1567"/>
        <w:gridCol w:w="720"/>
        <w:gridCol w:w="720"/>
        <w:gridCol w:w="655"/>
        <w:gridCol w:w="720"/>
        <w:gridCol w:w="719"/>
        <w:gridCol w:w="769"/>
      </w:tblGrid>
      <w:tr w:rsidR="0053107F" w:rsidRPr="003A3F02" w14:paraId="6FE0EEDF" w14:textId="77777777" w:rsidTr="00EA68BA">
        <w:trPr>
          <w:trHeight w:val="601"/>
          <w:tblHeader/>
        </w:trPr>
        <w:tc>
          <w:tcPr>
            <w:tcW w:w="1413" w:type="dxa"/>
            <w:tcBorders>
              <w:top w:val="single" w:sz="8" w:space="0" w:color="000000"/>
              <w:left w:val="single" w:sz="8" w:space="0" w:color="000000"/>
              <w:bottom w:val="single" w:sz="4" w:space="0" w:color="auto"/>
              <w:right w:val="single" w:sz="8" w:space="0" w:color="000000"/>
            </w:tcBorders>
            <w:shd w:val="clear" w:color="auto" w:fill="538135" w:themeFill="accent6" w:themeFillShade="BF"/>
            <w:vAlign w:val="center"/>
            <w:hideMark/>
          </w:tcPr>
          <w:p w14:paraId="34425620"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 GENERAL</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FEEC797"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OBJETIVOS ESPECÍFICOS </w:t>
            </w:r>
          </w:p>
        </w:tc>
        <w:tc>
          <w:tcPr>
            <w:tcW w:w="1413"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366BCE03"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PRODUCTOS</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0CB2121"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INDICADORES DE PRODUCTO</w:t>
            </w:r>
          </w:p>
        </w:tc>
        <w:tc>
          <w:tcPr>
            <w:tcW w:w="731"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BC2D93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UNIDAD DE MEDIDA</w:t>
            </w:r>
          </w:p>
        </w:tc>
        <w:tc>
          <w:tcPr>
            <w:tcW w:w="2260"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2D14C25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ACTIVIDAD</w:t>
            </w:r>
          </w:p>
          <w:p w14:paraId="1071557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(MGA) </w:t>
            </w:r>
          </w:p>
        </w:tc>
        <w:tc>
          <w:tcPr>
            <w:tcW w:w="1567"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6E84404"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INSUMOS</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786377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2020</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30B1DFB"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2021</w:t>
            </w:r>
          </w:p>
        </w:tc>
        <w:tc>
          <w:tcPr>
            <w:tcW w:w="655" w:type="dxa"/>
            <w:tcBorders>
              <w:top w:val="nil"/>
              <w:left w:val="nil"/>
              <w:bottom w:val="single" w:sz="4" w:space="0" w:color="auto"/>
              <w:right w:val="single" w:sz="8" w:space="0" w:color="000000"/>
            </w:tcBorders>
            <w:shd w:val="clear" w:color="auto" w:fill="538135" w:themeFill="accent6" w:themeFillShade="BF"/>
            <w:vAlign w:val="center"/>
            <w:hideMark/>
          </w:tcPr>
          <w:p w14:paraId="0C8A1E4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2022</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29B903A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2023</w:t>
            </w:r>
          </w:p>
        </w:tc>
        <w:tc>
          <w:tcPr>
            <w:tcW w:w="719" w:type="dxa"/>
            <w:tcBorders>
              <w:top w:val="nil"/>
              <w:left w:val="nil"/>
              <w:bottom w:val="single" w:sz="4" w:space="0" w:color="auto"/>
              <w:right w:val="single" w:sz="8" w:space="0" w:color="000000"/>
            </w:tcBorders>
            <w:shd w:val="clear" w:color="auto" w:fill="538135" w:themeFill="accent6" w:themeFillShade="BF"/>
            <w:vAlign w:val="center"/>
            <w:hideMark/>
          </w:tcPr>
          <w:p w14:paraId="39CEFB4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2024</w:t>
            </w:r>
          </w:p>
        </w:tc>
        <w:tc>
          <w:tcPr>
            <w:tcW w:w="769" w:type="dxa"/>
            <w:tcBorders>
              <w:top w:val="nil"/>
              <w:left w:val="nil"/>
              <w:bottom w:val="single" w:sz="4" w:space="0" w:color="auto"/>
              <w:right w:val="single" w:sz="8" w:space="0" w:color="000000"/>
            </w:tcBorders>
            <w:shd w:val="clear" w:color="auto" w:fill="538135" w:themeFill="accent6" w:themeFillShade="BF"/>
            <w:vAlign w:val="center"/>
            <w:hideMark/>
          </w:tcPr>
          <w:p w14:paraId="548AE78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Total</w:t>
            </w:r>
          </w:p>
        </w:tc>
      </w:tr>
      <w:tr w:rsidR="00271B87" w:rsidRPr="00EE22F2" w14:paraId="0B1F50D2" w14:textId="77777777" w:rsidTr="009E2245">
        <w:trPr>
          <w:trHeight w:val="298"/>
        </w:trPr>
        <w:tc>
          <w:tcPr>
            <w:tcW w:w="1413" w:type="dxa"/>
            <w:vMerge w:val="restart"/>
            <w:tcBorders>
              <w:top w:val="single" w:sz="4" w:space="0" w:color="auto"/>
              <w:left w:val="single" w:sz="4" w:space="0" w:color="auto"/>
              <w:right w:val="single" w:sz="4" w:space="0" w:color="auto"/>
            </w:tcBorders>
            <w:shd w:val="clear" w:color="auto" w:fill="auto"/>
            <w:vAlign w:val="center"/>
          </w:tcPr>
          <w:p w14:paraId="0E23C0B0" w14:textId="77777777" w:rsidR="00271B87" w:rsidRPr="00EE22F2" w:rsidRDefault="00271B87" w:rsidP="00271B87">
            <w:pPr>
              <w:rPr>
                <w:rFonts w:ascii="Times New Roman" w:hAnsi="Times New Roman"/>
                <w:color w:val="000000"/>
                <w:sz w:val="14"/>
                <w:szCs w:val="14"/>
                <w:lang w:eastAsia="es-CO"/>
              </w:rPr>
            </w:pPr>
            <w:r w:rsidRPr="00EE22F2">
              <w:rPr>
                <w:rFonts w:ascii="Times New Roman" w:hAnsi="Times New Roman"/>
                <w:color w:val="000000"/>
                <w:sz w:val="14"/>
                <w:szCs w:val="14"/>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2338D022" w14:textId="56FF5C7C" w:rsidR="00271B87" w:rsidRPr="00EE22F2" w:rsidRDefault="00271B87" w:rsidP="00271B87">
            <w:pPr>
              <w:jc w:val="center"/>
              <w:rPr>
                <w:rFonts w:ascii="Times New Roman" w:hAnsi="Times New Roman"/>
                <w:color w:val="000000"/>
                <w:sz w:val="14"/>
                <w:szCs w:val="14"/>
                <w:lang w:eastAsia="es-CO"/>
              </w:rPr>
            </w:pPr>
          </w:p>
        </w:tc>
        <w:tc>
          <w:tcPr>
            <w:tcW w:w="1415" w:type="dxa"/>
            <w:vMerge w:val="restart"/>
            <w:tcBorders>
              <w:top w:val="single" w:sz="4" w:space="0" w:color="auto"/>
              <w:left w:val="single" w:sz="4" w:space="0" w:color="auto"/>
              <w:right w:val="single" w:sz="4" w:space="0" w:color="auto"/>
            </w:tcBorders>
            <w:shd w:val="clear" w:color="auto" w:fill="auto"/>
            <w:vAlign w:val="center"/>
          </w:tcPr>
          <w:p w14:paraId="55956A36"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tc>
        <w:tc>
          <w:tcPr>
            <w:tcW w:w="1413" w:type="dxa"/>
            <w:vMerge w:val="restart"/>
            <w:tcBorders>
              <w:top w:val="single" w:sz="4" w:space="0" w:color="auto"/>
              <w:left w:val="single" w:sz="4" w:space="0" w:color="auto"/>
              <w:right w:val="single" w:sz="4" w:space="0" w:color="auto"/>
            </w:tcBorders>
            <w:shd w:val="clear" w:color="auto" w:fill="auto"/>
            <w:vAlign w:val="center"/>
          </w:tcPr>
          <w:p w14:paraId="60188CDB"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3201021 </w:t>
            </w:r>
            <w:proofErr w:type="gramStart"/>
            <w:r w:rsidRPr="00EE22F2">
              <w:rPr>
                <w:rFonts w:ascii="Times New Roman" w:hAnsi="Times New Roman"/>
                <w:sz w:val="14"/>
                <w:szCs w:val="14"/>
              </w:rPr>
              <w:t>Documentos</w:t>
            </w:r>
            <w:proofErr w:type="gramEnd"/>
            <w:r w:rsidRPr="00EE22F2">
              <w:rPr>
                <w:rFonts w:ascii="Times New Roman" w:hAnsi="Times New Roman"/>
                <w:sz w:val="14"/>
                <w:szCs w:val="14"/>
              </w:rPr>
              <w:t xml:space="preserve"> de instrumentos técnicos de evaluación y seguimiento ambiental a partir de documentos de instrumentos técnicos de evaluación, control y seguimiento ambiental.</w:t>
            </w:r>
          </w:p>
        </w:tc>
        <w:tc>
          <w:tcPr>
            <w:tcW w:w="1415" w:type="dxa"/>
            <w:vMerge w:val="restart"/>
            <w:tcBorders>
              <w:top w:val="single" w:sz="4" w:space="0" w:color="auto"/>
              <w:left w:val="single" w:sz="4" w:space="0" w:color="auto"/>
              <w:right w:val="single" w:sz="4" w:space="0" w:color="auto"/>
            </w:tcBorders>
            <w:shd w:val="clear" w:color="auto" w:fill="auto"/>
            <w:vAlign w:val="center"/>
          </w:tcPr>
          <w:p w14:paraId="28E09556"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320102100 Documentos de instrumentos técnicos de evaluación y seguimiento ambiental </w:t>
            </w:r>
            <w:proofErr w:type="gramStart"/>
            <w:r w:rsidRPr="00EE22F2">
              <w:rPr>
                <w:rFonts w:ascii="Times New Roman" w:hAnsi="Times New Roman"/>
                <w:sz w:val="14"/>
                <w:szCs w:val="14"/>
              </w:rPr>
              <w:t>realizados  a</w:t>
            </w:r>
            <w:proofErr w:type="gramEnd"/>
            <w:r w:rsidRPr="00EE22F2">
              <w:rPr>
                <w:rFonts w:ascii="Times New Roman" w:hAnsi="Times New Roman"/>
                <w:sz w:val="14"/>
                <w:szCs w:val="14"/>
              </w:rPr>
              <w:t xml:space="preserve">  predios , asociados a actividades industriales, de servicios y con antecedentes de extracción de minerales con afectación al suelo y al agua subterránea del acuífero somero.</w:t>
            </w:r>
          </w:p>
        </w:tc>
        <w:tc>
          <w:tcPr>
            <w:tcW w:w="731" w:type="dxa"/>
            <w:vMerge w:val="restart"/>
            <w:tcBorders>
              <w:top w:val="single" w:sz="4" w:space="0" w:color="auto"/>
              <w:left w:val="single" w:sz="4" w:space="0" w:color="auto"/>
              <w:right w:val="single" w:sz="4" w:space="0" w:color="auto"/>
            </w:tcBorders>
            <w:shd w:val="clear" w:color="auto" w:fill="auto"/>
            <w:vAlign w:val="center"/>
          </w:tcPr>
          <w:p w14:paraId="4ACDCDAC"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lang w:eastAsia="es-CO"/>
              </w:rPr>
              <w:t>Número</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5458199F"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color w:val="000000"/>
                <w:sz w:val="14"/>
                <w:szCs w:val="14"/>
              </w:rPr>
              <w:t>Realizar 215 actividades de evaluación, control y seguimiento como mínimo, a predios identificados como sitios potencialmente contaminados, sitios contaminados o con pasivos ambientales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F19EBD8"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3079ACBD"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2DBD64E" w14:textId="46E4A9D9"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6B95D9A" w14:textId="4AC4D1C6"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421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8D309" w14:textId="3BA2BC11"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786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4BDF0" w14:textId="56DF590D"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69</w:t>
            </w:r>
            <w:r w:rsidR="008D3287" w:rsidRPr="0006190C">
              <w:rPr>
                <w:color w:val="000000"/>
                <w:sz w:val="16"/>
                <w:szCs w:val="16"/>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76679" w14:textId="793C876C" w:rsidR="00271B87" w:rsidRPr="0006190C" w:rsidRDefault="00271B87" w:rsidP="00271B87">
            <w:pPr>
              <w:jc w:val="center"/>
              <w:rPr>
                <w:rFonts w:ascii="Times New Roman" w:hAnsi="Times New Roman"/>
                <w:color w:val="000000"/>
                <w:sz w:val="16"/>
                <w:szCs w:val="16"/>
                <w:lang w:eastAsia="es-CO"/>
              </w:rPr>
            </w:pPr>
            <w:r w:rsidRPr="0006190C">
              <w:rPr>
                <w:rFonts w:ascii="Times New Roman" w:hAnsi="Times New Roman"/>
                <w:sz w:val="16"/>
                <w:szCs w:val="16"/>
              </w:rPr>
              <w:t>926</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2F1F8" w14:textId="6213AC64"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65</w:t>
            </w:r>
            <w:r w:rsidR="008D3287" w:rsidRPr="0006190C">
              <w:rPr>
                <w:color w:val="000000"/>
                <w:sz w:val="16"/>
                <w:szCs w:val="16"/>
              </w:rPr>
              <w:t>6</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tcPr>
          <w:p w14:paraId="02370092" w14:textId="77777777" w:rsidR="00271B87" w:rsidRPr="0006190C" w:rsidRDefault="00271B87" w:rsidP="00271B87">
            <w:pPr>
              <w:jc w:val="center"/>
              <w:rPr>
                <w:sz w:val="16"/>
                <w:szCs w:val="16"/>
              </w:rPr>
            </w:pPr>
          </w:p>
          <w:p w14:paraId="6F5787E5" w14:textId="77777777" w:rsidR="00271B87" w:rsidRPr="0006190C" w:rsidRDefault="00271B87" w:rsidP="00271B87">
            <w:pPr>
              <w:jc w:val="center"/>
              <w:rPr>
                <w:sz w:val="16"/>
                <w:szCs w:val="16"/>
              </w:rPr>
            </w:pPr>
          </w:p>
          <w:p w14:paraId="419FE3EE" w14:textId="77777777" w:rsidR="00271B87" w:rsidRPr="0006190C" w:rsidRDefault="00271B87" w:rsidP="00271B87">
            <w:pPr>
              <w:jc w:val="center"/>
              <w:rPr>
                <w:sz w:val="16"/>
                <w:szCs w:val="16"/>
              </w:rPr>
            </w:pPr>
          </w:p>
          <w:p w14:paraId="1ABBC9D1" w14:textId="77777777" w:rsidR="00271B87" w:rsidRPr="0006190C" w:rsidRDefault="00271B87" w:rsidP="00271B87">
            <w:pPr>
              <w:jc w:val="center"/>
              <w:rPr>
                <w:sz w:val="16"/>
                <w:szCs w:val="16"/>
              </w:rPr>
            </w:pPr>
          </w:p>
          <w:p w14:paraId="19F8CB3D" w14:textId="77777777" w:rsidR="00271B87" w:rsidRPr="0006190C" w:rsidRDefault="00271B87" w:rsidP="00271B87">
            <w:pPr>
              <w:jc w:val="center"/>
              <w:rPr>
                <w:sz w:val="16"/>
                <w:szCs w:val="16"/>
              </w:rPr>
            </w:pPr>
          </w:p>
          <w:p w14:paraId="3B8D2AD7" w14:textId="77777777" w:rsidR="00271B87" w:rsidRPr="0006190C" w:rsidRDefault="00271B87" w:rsidP="00271B87">
            <w:pPr>
              <w:jc w:val="center"/>
              <w:rPr>
                <w:sz w:val="16"/>
                <w:szCs w:val="16"/>
              </w:rPr>
            </w:pPr>
          </w:p>
          <w:p w14:paraId="7795A31F" w14:textId="77777777" w:rsidR="00271B87" w:rsidRPr="0006190C" w:rsidRDefault="00271B87" w:rsidP="00271B87">
            <w:pPr>
              <w:jc w:val="center"/>
              <w:rPr>
                <w:sz w:val="16"/>
                <w:szCs w:val="16"/>
              </w:rPr>
            </w:pPr>
          </w:p>
          <w:p w14:paraId="09D992FB" w14:textId="77777777" w:rsidR="00271B87" w:rsidRPr="0006190C" w:rsidRDefault="00271B87" w:rsidP="00271B87">
            <w:pPr>
              <w:jc w:val="center"/>
              <w:rPr>
                <w:sz w:val="16"/>
                <w:szCs w:val="16"/>
              </w:rPr>
            </w:pPr>
          </w:p>
          <w:p w14:paraId="3FE4EBD1" w14:textId="77777777" w:rsidR="00271B87" w:rsidRPr="0006190C" w:rsidRDefault="00271B87" w:rsidP="00271B87">
            <w:pPr>
              <w:jc w:val="center"/>
              <w:rPr>
                <w:sz w:val="16"/>
                <w:szCs w:val="16"/>
              </w:rPr>
            </w:pPr>
          </w:p>
          <w:p w14:paraId="07C82A6B" w14:textId="77777777" w:rsidR="00271B87" w:rsidRPr="0006190C" w:rsidRDefault="00271B87" w:rsidP="00271B87">
            <w:pPr>
              <w:jc w:val="center"/>
              <w:rPr>
                <w:sz w:val="16"/>
                <w:szCs w:val="16"/>
              </w:rPr>
            </w:pPr>
          </w:p>
          <w:p w14:paraId="6EF70C86" w14:textId="77777777" w:rsidR="00271B87" w:rsidRPr="0006190C" w:rsidRDefault="00271B87" w:rsidP="00271B87">
            <w:pPr>
              <w:jc w:val="center"/>
              <w:rPr>
                <w:sz w:val="16"/>
                <w:szCs w:val="16"/>
              </w:rPr>
            </w:pPr>
          </w:p>
          <w:p w14:paraId="5333CB8F" w14:textId="77777777" w:rsidR="00271B87" w:rsidRPr="0006190C" w:rsidRDefault="00271B87" w:rsidP="00271B87">
            <w:pPr>
              <w:jc w:val="center"/>
              <w:rPr>
                <w:sz w:val="16"/>
                <w:szCs w:val="16"/>
              </w:rPr>
            </w:pPr>
          </w:p>
          <w:p w14:paraId="32A037DF" w14:textId="485D2CD4" w:rsidR="00271B87" w:rsidRPr="0006190C" w:rsidRDefault="00271B87" w:rsidP="00271B87">
            <w:pPr>
              <w:jc w:val="center"/>
              <w:rPr>
                <w:rFonts w:ascii="Times New Roman" w:hAnsi="Times New Roman"/>
                <w:b/>
                <w:bCs/>
                <w:color w:val="000000"/>
                <w:sz w:val="16"/>
                <w:szCs w:val="16"/>
                <w:lang w:eastAsia="es-CO"/>
              </w:rPr>
            </w:pPr>
            <w:r w:rsidRPr="0006190C">
              <w:rPr>
                <w:sz w:val="16"/>
                <w:szCs w:val="16"/>
              </w:rPr>
              <w:t>1032</w:t>
            </w:r>
            <w:r w:rsidR="008D3287" w:rsidRPr="0006190C">
              <w:rPr>
                <w:sz w:val="16"/>
                <w:szCs w:val="16"/>
              </w:rPr>
              <w:t>4</w:t>
            </w:r>
          </w:p>
          <w:p w14:paraId="15B991E9" w14:textId="65100517" w:rsidR="00271B87" w:rsidRPr="0006190C" w:rsidRDefault="00271B87" w:rsidP="00271B87">
            <w:pPr>
              <w:jc w:val="center"/>
              <w:rPr>
                <w:rFonts w:ascii="Times New Roman" w:hAnsi="Times New Roman"/>
                <w:b/>
                <w:bCs/>
                <w:color w:val="000000"/>
                <w:sz w:val="16"/>
                <w:szCs w:val="16"/>
                <w:lang w:eastAsia="es-CO"/>
              </w:rPr>
            </w:pPr>
          </w:p>
        </w:tc>
      </w:tr>
      <w:tr w:rsidR="00271B87" w:rsidRPr="00EE22F2" w14:paraId="02990984" w14:textId="77777777" w:rsidTr="009E2245">
        <w:trPr>
          <w:trHeight w:val="783"/>
        </w:trPr>
        <w:tc>
          <w:tcPr>
            <w:tcW w:w="1413" w:type="dxa"/>
            <w:vMerge/>
            <w:tcBorders>
              <w:left w:val="single" w:sz="4" w:space="0" w:color="auto"/>
              <w:right w:val="single" w:sz="4" w:space="0" w:color="auto"/>
            </w:tcBorders>
            <w:shd w:val="clear" w:color="auto" w:fill="auto"/>
            <w:vAlign w:val="center"/>
          </w:tcPr>
          <w:p w14:paraId="4B6C2C1B" w14:textId="77777777" w:rsidR="00271B87" w:rsidRPr="00EE22F2" w:rsidRDefault="00271B87" w:rsidP="00271B87">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vAlign w:val="center"/>
          </w:tcPr>
          <w:p w14:paraId="0FE4DAE8" w14:textId="77777777" w:rsidR="00271B87" w:rsidRPr="00EE22F2" w:rsidRDefault="00271B87" w:rsidP="00271B87">
            <w:pPr>
              <w:jc w:val="left"/>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vAlign w:val="center"/>
          </w:tcPr>
          <w:p w14:paraId="59AEBA9D" w14:textId="77777777" w:rsidR="00271B87" w:rsidRPr="00EE22F2" w:rsidRDefault="00271B87" w:rsidP="00271B87">
            <w:pPr>
              <w:jc w:val="left"/>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vAlign w:val="center"/>
          </w:tcPr>
          <w:p w14:paraId="1F3A0C0D" w14:textId="77777777" w:rsidR="00271B87" w:rsidRPr="00EE22F2" w:rsidRDefault="00271B87" w:rsidP="00271B87">
            <w:pPr>
              <w:jc w:val="left"/>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vAlign w:val="center"/>
          </w:tcPr>
          <w:p w14:paraId="10ED2199" w14:textId="77777777" w:rsidR="00271B87" w:rsidRPr="00EE22F2" w:rsidRDefault="00271B87" w:rsidP="00271B87">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42E9A02"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rPr>
              <w:t>Ejecutar 567 actividades de evaluación, control y seguimiento como mínimo, a predios que realizan o realizaron almacenamiento y distribución de hidrocarburos líquidos derivados del petróleo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1829A5B8"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10C74256"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3AD73E1B" w14:textId="4748A373"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E76638E" w14:textId="7E8700E9"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376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61EF1" w14:textId="17D8209E"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676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DF42C" w14:textId="5E34BFB3"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4</w:t>
            </w:r>
            <w:r w:rsidR="008D3287" w:rsidRPr="0006190C">
              <w:rPr>
                <w:color w:val="000000"/>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CEFB0" w14:textId="0236DBAC" w:rsidR="00271B87" w:rsidRPr="009C362C" w:rsidRDefault="00271B87" w:rsidP="00271B87">
            <w:pPr>
              <w:jc w:val="center"/>
              <w:rPr>
                <w:rFonts w:ascii="Times New Roman" w:hAnsi="Times New Roman"/>
                <w:color w:val="000000"/>
                <w:sz w:val="16"/>
                <w:szCs w:val="16"/>
                <w:lang w:eastAsia="es-CO"/>
              </w:rPr>
            </w:pPr>
            <w:r w:rsidRPr="009C362C">
              <w:rPr>
                <w:color w:val="000000"/>
                <w:sz w:val="16"/>
                <w:szCs w:val="16"/>
              </w:rPr>
              <w:t>7</w:t>
            </w:r>
            <w:r w:rsidR="0006190C" w:rsidRPr="009C362C">
              <w:rPr>
                <w:color w:val="000000"/>
                <w:sz w:val="16"/>
                <w:szCs w:val="16"/>
              </w:rPr>
              <w:t>38</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3F326" w14:textId="6E0B330C"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617</w:t>
            </w:r>
          </w:p>
        </w:tc>
        <w:tc>
          <w:tcPr>
            <w:tcW w:w="769" w:type="dxa"/>
            <w:vMerge/>
            <w:tcBorders>
              <w:top w:val="single" w:sz="8" w:space="0" w:color="auto"/>
              <w:left w:val="single" w:sz="8" w:space="0" w:color="auto"/>
              <w:bottom w:val="single" w:sz="8" w:space="0" w:color="000000"/>
              <w:right w:val="single" w:sz="8" w:space="0" w:color="auto"/>
            </w:tcBorders>
            <w:noWrap/>
          </w:tcPr>
          <w:p w14:paraId="6453EC31" w14:textId="77777777" w:rsidR="00271B87" w:rsidRPr="0006190C" w:rsidRDefault="00271B87" w:rsidP="00271B87">
            <w:pPr>
              <w:jc w:val="center"/>
              <w:rPr>
                <w:rFonts w:ascii="Times New Roman" w:hAnsi="Times New Roman"/>
                <w:color w:val="000000"/>
                <w:sz w:val="16"/>
                <w:szCs w:val="16"/>
                <w:lang w:eastAsia="es-CO"/>
              </w:rPr>
            </w:pPr>
          </w:p>
        </w:tc>
      </w:tr>
      <w:tr w:rsidR="00271B87" w:rsidRPr="00EE22F2" w14:paraId="4A310779" w14:textId="77777777" w:rsidTr="009E2245">
        <w:trPr>
          <w:trHeight w:val="378"/>
        </w:trPr>
        <w:tc>
          <w:tcPr>
            <w:tcW w:w="1413" w:type="dxa"/>
            <w:vMerge/>
            <w:tcBorders>
              <w:left w:val="single" w:sz="4" w:space="0" w:color="auto"/>
              <w:right w:val="single" w:sz="4" w:space="0" w:color="auto"/>
            </w:tcBorders>
            <w:shd w:val="clear" w:color="auto" w:fill="auto"/>
            <w:vAlign w:val="center"/>
            <w:hideMark/>
          </w:tcPr>
          <w:p w14:paraId="440ECE24" w14:textId="77777777" w:rsidR="00271B87" w:rsidRPr="00EE22F2" w:rsidRDefault="00271B87" w:rsidP="00271B87">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070715F9" w14:textId="77777777" w:rsidR="00271B87" w:rsidRPr="00EE22F2" w:rsidRDefault="00271B87" w:rsidP="00271B87">
            <w:pPr>
              <w:jc w:val="center"/>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shd w:val="clear" w:color="auto" w:fill="auto"/>
            <w:vAlign w:val="center"/>
          </w:tcPr>
          <w:p w14:paraId="35E2A23C" w14:textId="77777777" w:rsidR="00271B87" w:rsidRPr="00EE22F2" w:rsidRDefault="00271B87" w:rsidP="00271B87">
            <w:pPr>
              <w:jc w:val="center"/>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5276BB27" w14:textId="77777777" w:rsidR="00271B87" w:rsidRPr="00EE22F2" w:rsidRDefault="00271B87" w:rsidP="00271B87">
            <w:pPr>
              <w:jc w:val="center"/>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shd w:val="clear" w:color="auto" w:fill="auto"/>
            <w:vAlign w:val="center"/>
          </w:tcPr>
          <w:p w14:paraId="2FF69B77" w14:textId="77777777" w:rsidR="00271B87" w:rsidRPr="00EE22F2" w:rsidRDefault="00271B87" w:rsidP="00271B87">
            <w:pPr>
              <w:jc w:val="center"/>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22B6E4F8"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color w:val="000000"/>
                <w:sz w:val="14"/>
                <w:szCs w:val="14"/>
              </w:rPr>
              <w:t>Realizar 218 actividades de evaluación, control y seguimiento como mínimo, a predios afectados por la actividad extractiva de minerales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D9AA6A1"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40F75823"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D7AD589" w14:textId="6BFD14E6"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C5EC1A2" w14:textId="65D2D553"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251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E06" w14:textId="3C9A7A90"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473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924C7" w14:textId="11E8E1EB"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5</w:t>
            </w:r>
            <w:r w:rsidR="008D3287" w:rsidRPr="0006190C">
              <w:rPr>
                <w:color w:val="000000"/>
                <w:sz w:val="16"/>
                <w:szCs w:val="16"/>
              </w:rPr>
              <w:t>40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4D602" w14:textId="6CC8ACF9" w:rsidR="00271B87" w:rsidRPr="009C362C" w:rsidRDefault="0006190C" w:rsidP="00271B87">
            <w:pPr>
              <w:jc w:val="center"/>
              <w:rPr>
                <w:rFonts w:ascii="Times New Roman" w:hAnsi="Times New Roman"/>
                <w:color w:val="000000"/>
                <w:sz w:val="16"/>
                <w:szCs w:val="16"/>
                <w:lang w:eastAsia="es-CO"/>
              </w:rPr>
            </w:pPr>
            <w:r w:rsidRPr="009C362C">
              <w:rPr>
                <w:color w:val="000000"/>
                <w:sz w:val="16"/>
                <w:szCs w:val="16"/>
              </w:rPr>
              <w:t>613</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30444" w14:textId="3D6D77CD"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409</w:t>
            </w:r>
          </w:p>
        </w:tc>
        <w:tc>
          <w:tcPr>
            <w:tcW w:w="769" w:type="dxa"/>
            <w:vMerge/>
            <w:tcBorders>
              <w:top w:val="single" w:sz="8" w:space="0" w:color="auto"/>
              <w:left w:val="single" w:sz="8" w:space="0" w:color="auto"/>
              <w:bottom w:val="single" w:sz="8" w:space="0" w:color="000000"/>
              <w:right w:val="single" w:sz="8" w:space="0" w:color="auto"/>
            </w:tcBorders>
            <w:noWrap/>
          </w:tcPr>
          <w:p w14:paraId="5CD749A4" w14:textId="77777777" w:rsidR="00271B87" w:rsidRPr="0006190C" w:rsidRDefault="00271B87" w:rsidP="00271B87">
            <w:pPr>
              <w:jc w:val="center"/>
              <w:rPr>
                <w:rFonts w:ascii="Times New Roman" w:hAnsi="Times New Roman"/>
                <w:color w:val="000000"/>
                <w:sz w:val="16"/>
                <w:szCs w:val="16"/>
                <w:lang w:eastAsia="es-CO"/>
              </w:rPr>
            </w:pPr>
          </w:p>
        </w:tc>
      </w:tr>
      <w:tr w:rsidR="00271B87" w:rsidRPr="00EE22F2" w14:paraId="73318F53" w14:textId="77777777" w:rsidTr="009E2245">
        <w:trPr>
          <w:trHeight w:val="401"/>
        </w:trPr>
        <w:tc>
          <w:tcPr>
            <w:tcW w:w="1413" w:type="dxa"/>
            <w:vMerge/>
            <w:tcBorders>
              <w:left w:val="single" w:sz="4" w:space="0" w:color="auto"/>
              <w:right w:val="single" w:sz="4" w:space="0" w:color="auto"/>
            </w:tcBorders>
            <w:shd w:val="clear" w:color="auto" w:fill="auto"/>
            <w:vAlign w:val="center"/>
            <w:hideMark/>
          </w:tcPr>
          <w:p w14:paraId="55F88034" w14:textId="77777777" w:rsidR="00271B87" w:rsidRPr="00EE22F2" w:rsidRDefault="00271B87" w:rsidP="00271B87">
            <w:pPr>
              <w:jc w:val="left"/>
              <w:rPr>
                <w:rFonts w:ascii="Times New Roman" w:hAnsi="Times New Roman"/>
                <w:b/>
                <w:bCs/>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95B1D2A" w14:textId="77777777" w:rsidR="00271B87" w:rsidRPr="00EE22F2" w:rsidRDefault="00271B87" w:rsidP="00271B87">
            <w:pPr>
              <w:jc w:val="left"/>
              <w:rPr>
                <w:rFonts w:ascii="Times New Roman" w:hAnsi="Times New Roman"/>
                <w:color w:val="000000"/>
                <w:sz w:val="14"/>
                <w:szCs w:val="14"/>
                <w:lang w:eastAsia="es-CO"/>
              </w:rPr>
            </w:pPr>
          </w:p>
        </w:tc>
        <w:tc>
          <w:tcPr>
            <w:tcW w:w="1413" w:type="dxa"/>
            <w:vMerge/>
            <w:tcBorders>
              <w:left w:val="single" w:sz="4" w:space="0" w:color="auto"/>
              <w:bottom w:val="single" w:sz="4" w:space="0" w:color="auto"/>
              <w:right w:val="single" w:sz="4" w:space="0" w:color="auto"/>
            </w:tcBorders>
            <w:vAlign w:val="center"/>
          </w:tcPr>
          <w:p w14:paraId="777A98AA" w14:textId="77777777" w:rsidR="00271B87" w:rsidRPr="00EE22F2" w:rsidRDefault="00271B87" w:rsidP="00271B87">
            <w:pPr>
              <w:jc w:val="left"/>
              <w:rPr>
                <w:rFonts w:ascii="Times New Roman" w:hAnsi="Times New Roman"/>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53FABBE" w14:textId="77777777" w:rsidR="00271B87" w:rsidRPr="00EE22F2" w:rsidRDefault="00271B87" w:rsidP="00271B87">
            <w:pPr>
              <w:jc w:val="left"/>
              <w:rPr>
                <w:rFonts w:ascii="Times New Roman" w:hAnsi="Times New Roman"/>
                <w:color w:val="000000"/>
                <w:sz w:val="14"/>
                <w:szCs w:val="14"/>
                <w:lang w:eastAsia="es-CO"/>
              </w:rPr>
            </w:pPr>
          </w:p>
        </w:tc>
        <w:tc>
          <w:tcPr>
            <w:tcW w:w="731" w:type="dxa"/>
            <w:vMerge/>
            <w:tcBorders>
              <w:left w:val="single" w:sz="4" w:space="0" w:color="auto"/>
              <w:bottom w:val="single" w:sz="4" w:space="0" w:color="auto"/>
              <w:right w:val="single" w:sz="4" w:space="0" w:color="auto"/>
            </w:tcBorders>
            <w:vAlign w:val="center"/>
          </w:tcPr>
          <w:p w14:paraId="66AC66C5" w14:textId="77777777" w:rsidR="00271B87" w:rsidRPr="00EE22F2" w:rsidRDefault="00271B87" w:rsidP="00271B87">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EEF9018"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rPr>
              <w:t>Atender 100% de los conceptos técnicos que recomiendan actuaciones administrativas sancionatorias durante la vigencia para mejorar la eficiencia del proceso sancionatorio ambiental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39C76EAF"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32EDF209"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4777E493" w14:textId="6D6B218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D88BEFB" w14:textId="56383AD4"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199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38C62" w14:textId="186C2997"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323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D6658" w14:textId="0667E581"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2</w:t>
            </w:r>
            <w:r w:rsidR="008D3287" w:rsidRPr="0006190C">
              <w:rPr>
                <w:color w:val="000000"/>
                <w:sz w:val="16"/>
                <w:szCs w:val="16"/>
              </w:rPr>
              <w:t>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BF02B" w14:textId="732D490B" w:rsidR="00271B87" w:rsidRPr="009C362C" w:rsidRDefault="0006190C" w:rsidP="00271B87">
            <w:pPr>
              <w:jc w:val="center"/>
              <w:rPr>
                <w:rFonts w:ascii="Times New Roman" w:hAnsi="Times New Roman"/>
                <w:color w:val="000000"/>
                <w:sz w:val="16"/>
                <w:szCs w:val="16"/>
                <w:lang w:eastAsia="es-CO"/>
              </w:rPr>
            </w:pPr>
            <w:r w:rsidRPr="009C362C">
              <w:rPr>
                <w:color w:val="000000"/>
                <w:sz w:val="16"/>
                <w:szCs w:val="16"/>
              </w:rPr>
              <w:t>730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99648" w14:textId="1320FC67"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260</w:t>
            </w:r>
          </w:p>
        </w:tc>
        <w:tc>
          <w:tcPr>
            <w:tcW w:w="769" w:type="dxa"/>
            <w:vMerge/>
            <w:tcBorders>
              <w:top w:val="single" w:sz="8" w:space="0" w:color="auto"/>
              <w:left w:val="single" w:sz="8" w:space="0" w:color="auto"/>
              <w:bottom w:val="single" w:sz="8" w:space="0" w:color="000000"/>
              <w:right w:val="single" w:sz="8" w:space="0" w:color="auto"/>
            </w:tcBorders>
            <w:noWrap/>
          </w:tcPr>
          <w:p w14:paraId="0C174152" w14:textId="77777777" w:rsidR="00271B87" w:rsidRPr="0006190C" w:rsidRDefault="00271B87" w:rsidP="00271B87">
            <w:pPr>
              <w:jc w:val="center"/>
              <w:rPr>
                <w:rFonts w:ascii="Times New Roman" w:hAnsi="Times New Roman"/>
                <w:color w:val="000000"/>
                <w:sz w:val="16"/>
                <w:szCs w:val="16"/>
                <w:lang w:eastAsia="es-CO"/>
              </w:rPr>
            </w:pPr>
          </w:p>
        </w:tc>
      </w:tr>
      <w:tr w:rsidR="00271B87" w:rsidRPr="00EE22F2" w14:paraId="7300138D" w14:textId="77777777" w:rsidTr="00271B87">
        <w:trPr>
          <w:trHeight w:val="324"/>
        </w:trPr>
        <w:tc>
          <w:tcPr>
            <w:tcW w:w="1413" w:type="dxa"/>
            <w:vMerge/>
            <w:tcBorders>
              <w:left w:val="single" w:sz="4" w:space="0" w:color="auto"/>
              <w:bottom w:val="single" w:sz="4" w:space="0" w:color="auto"/>
              <w:right w:val="single" w:sz="4" w:space="0" w:color="auto"/>
            </w:tcBorders>
            <w:shd w:val="clear" w:color="auto" w:fill="auto"/>
            <w:vAlign w:val="center"/>
            <w:hideMark/>
          </w:tcPr>
          <w:p w14:paraId="4F544742" w14:textId="77777777" w:rsidR="00271B87" w:rsidRPr="00EE22F2" w:rsidRDefault="00271B87" w:rsidP="00271B87">
            <w:pPr>
              <w:jc w:val="left"/>
              <w:rPr>
                <w:rFonts w:ascii="Times New Roman" w:hAnsi="Times New Roman"/>
                <w:b/>
                <w:bCs/>
                <w:color w:val="000000"/>
                <w:sz w:val="14"/>
                <w:szCs w:val="14"/>
                <w:lang w:eastAsia="es-CO"/>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F3E7C3A"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lang w:eastAsia="es-CO"/>
              </w:rPr>
              <w:t>Desarrollar una herramienta de captura de información conceptual de las características del suelo y el agua subterráneo del acuífero somero.</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B30A153" w14:textId="5A5AA64C"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3201015 Documentos de </w:t>
            </w:r>
            <w:proofErr w:type="gramStart"/>
            <w:r w:rsidRPr="00EE22F2">
              <w:rPr>
                <w:rFonts w:ascii="Times New Roman" w:hAnsi="Times New Roman"/>
                <w:sz w:val="14"/>
                <w:szCs w:val="14"/>
              </w:rPr>
              <w:t>lineamientos  técnicos</w:t>
            </w:r>
            <w:proofErr w:type="gramEnd"/>
            <w:r w:rsidRPr="00EE22F2">
              <w:rPr>
                <w:rFonts w:ascii="Times New Roman" w:hAnsi="Times New Roman"/>
                <w:sz w:val="14"/>
                <w:szCs w:val="14"/>
              </w:rPr>
              <w:t xml:space="preserve"> para promover la gestión sostenible del suelo</w:t>
            </w:r>
            <w:r w:rsidRPr="00EE22F2" w:rsidDel="00FF505E">
              <w:rPr>
                <w:rFonts w:ascii="Times New Roman" w:hAnsi="Times New Roman"/>
                <w:sz w:val="14"/>
                <w:szCs w:val="14"/>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3A9C87E" w14:textId="446F640B"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320101500 Documentos de lineamientos técnicos </w:t>
            </w:r>
            <w:proofErr w:type="gramStart"/>
            <w:r w:rsidRPr="00EE22F2">
              <w:rPr>
                <w:rFonts w:ascii="Times New Roman" w:hAnsi="Times New Roman"/>
                <w:sz w:val="14"/>
                <w:szCs w:val="14"/>
              </w:rPr>
              <w:t>para  promover</w:t>
            </w:r>
            <w:proofErr w:type="gramEnd"/>
            <w:r w:rsidRPr="00EE22F2">
              <w:rPr>
                <w:rFonts w:ascii="Times New Roman" w:hAnsi="Times New Roman"/>
                <w:sz w:val="14"/>
                <w:szCs w:val="14"/>
              </w:rPr>
              <w:t xml:space="preserve"> la gestión sostenible del suelo elaborados </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14:paraId="437D4D5C"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lang w:eastAsia="es-CO"/>
              </w:rPr>
              <w:t>Porcentaje</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390D961E" w14:textId="2A9D2A0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Desarrollar e implementar el 100% de un modelo conceptual de captura de información sobre características del suelo en sitios con afectación (potencial y configurada) al suelo y/o agua subterránea del acuífero somero.</w:t>
            </w:r>
          </w:p>
        </w:tc>
        <w:tc>
          <w:tcPr>
            <w:tcW w:w="1567" w:type="dxa"/>
            <w:tcBorders>
              <w:top w:val="single" w:sz="4" w:space="0" w:color="auto"/>
              <w:left w:val="nil"/>
              <w:bottom w:val="single" w:sz="4" w:space="0" w:color="auto"/>
              <w:right w:val="single" w:sz="4" w:space="0" w:color="auto"/>
            </w:tcBorders>
            <w:shd w:val="clear" w:color="auto" w:fill="auto"/>
            <w:vAlign w:val="center"/>
          </w:tcPr>
          <w:p w14:paraId="047BBAEE"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944D29D" w14:textId="19BEDC9C"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050C972" w14:textId="7277E8B0"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CF047" w14:textId="4F46BC3D"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ADA25" w14:textId="05F7C6C3"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93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F64C8" w14:textId="08CF2A35" w:rsidR="00271B87" w:rsidRPr="0006190C" w:rsidRDefault="00271B87" w:rsidP="00271B87">
            <w:pPr>
              <w:jc w:val="center"/>
              <w:rPr>
                <w:rFonts w:ascii="Times New Roman" w:hAnsi="Times New Roman"/>
                <w:color w:val="000000"/>
                <w:sz w:val="16"/>
                <w:szCs w:val="16"/>
                <w:lang w:eastAsia="es-CO"/>
              </w:rPr>
            </w:pPr>
            <w:r w:rsidRPr="0006190C">
              <w:rPr>
                <w:rFonts w:ascii="Times New Roman" w:hAnsi="Times New Roman"/>
                <w:sz w:val="16"/>
                <w:szCs w:val="16"/>
              </w:rPr>
              <w:t>567</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A0DFE" w14:textId="322C4251"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w:t>
            </w:r>
          </w:p>
        </w:tc>
        <w:tc>
          <w:tcPr>
            <w:tcW w:w="769" w:type="dxa"/>
            <w:tcBorders>
              <w:top w:val="nil"/>
              <w:left w:val="nil"/>
              <w:bottom w:val="single" w:sz="4" w:space="0" w:color="auto"/>
              <w:right w:val="single" w:sz="8" w:space="0" w:color="auto"/>
            </w:tcBorders>
            <w:shd w:val="clear" w:color="auto" w:fill="auto"/>
            <w:noWrap/>
          </w:tcPr>
          <w:p w14:paraId="1572855F" w14:textId="77777777" w:rsidR="00271B87" w:rsidRPr="0006190C" w:rsidRDefault="00271B87" w:rsidP="00271B87">
            <w:pPr>
              <w:jc w:val="center"/>
              <w:rPr>
                <w:sz w:val="16"/>
                <w:szCs w:val="16"/>
              </w:rPr>
            </w:pPr>
          </w:p>
          <w:p w14:paraId="156AEF3A" w14:textId="77777777" w:rsidR="00271B87" w:rsidRPr="0006190C" w:rsidRDefault="00271B87" w:rsidP="00271B87">
            <w:pPr>
              <w:jc w:val="center"/>
              <w:rPr>
                <w:sz w:val="16"/>
                <w:szCs w:val="16"/>
              </w:rPr>
            </w:pPr>
          </w:p>
          <w:p w14:paraId="33F99E17" w14:textId="77777777" w:rsidR="00271B87" w:rsidRPr="0006190C" w:rsidRDefault="00271B87" w:rsidP="00271B87">
            <w:pPr>
              <w:jc w:val="center"/>
              <w:rPr>
                <w:sz w:val="16"/>
                <w:szCs w:val="16"/>
              </w:rPr>
            </w:pPr>
          </w:p>
          <w:p w14:paraId="56C29023" w14:textId="77777777" w:rsidR="00271B87" w:rsidRPr="0006190C" w:rsidRDefault="00271B87" w:rsidP="00271B87">
            <w:pPr>
              <w:jc w:val="center"/>
              <w:rPr>
                <w:sz w:val="16"/>
                <w:szCs w:val="16"/>
              </w:rPr>
            </w:pPr>
          </w:p>
          <w:p w14:paraId="7B07BD8F" w14:textId="388043F2" w:rsidR="00271B87" w:rsidRPr="0006190C" w:rsidRDefault="00271B87" w:rsidP="00271B87">
            <w:pPr>
              <w:jc w:val="center"/>
              <w:rPr>
                <w:rFonts w:ascii="Times New Roman" w:hAnsi="Times New Roman"/>
                <w:color w:val="000000"/>
                <w:sz w:val="16"/>
                <w:szCs w:val="16"/>
                <w:lang w:eastAsia="es-CO"/>
              </w:rPr>
            </w:pPr>
            <w:r w:rsidRPr="0006190C">
              <w:rPr>
                <w:rFonts w:ascii="Times New Roman" w:hAnsi="Times New Roman"/>
                <w:color w:val="000000"/>
                <w:sz w:val="16"/>
                <w:szCs w:val="16"/>
              </w:rPr>
              <w:t>660</w:t>
            </w:r>
          </w:p>
        </w:tc>
      </w:tr>
      <w:tr w:rsidR="00271B87" w:rsidRPr="00EE22F2" w14:paraId="4EED729A" w14:textId="77777777" w:rsidTr="00271B87">
        <w:trPr>
          <w:trHeight w:val="324"/>
        </w:trPr>
        <w:tc>
          <w:tcPr>
            <w:tcW w:w="1021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FB0B1F" w14:textId="77777777" w:rsidR="00271B87" w:rsidRPr="00271B87" w:rsidRDefault="00271B87" w:rsidP="00271B87">
            <w:pPr>
              <w:jc w:val="center"/>
              <w:rPr>
                <w:rFonts w:ascii="Times New Roman" w:hAnsi="Times New Roman"/>
                <w:b/>
                <w:bCs/>
                <w:sz w:val="18"/>
                <w:szCs w:val="18"/>
              </w:rPr>
            </w:pPr>
            <w:r w:rsidRPr="00EE22F2">
              <w:rPr>
                <w:rFonts w:ascii="Times New Roman" w:hAnsi="Times New Roman"/>
                <w:b/>
                <w:bCs/>
                <w:color w:val="000000"/>
                <w:sz w:val="14"/>
                <w:szCs w:val="14"/>
                <w:lang w:eastAsia="es-CO"/>
              </w:rPr>
              <w:t>TOTAL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90FAA" w14:textId="77777777" w:rsidR="00271B87" w:rsidRPr="0006190C" w:rsidRDefault="00271B87" w:rsidP="00271B87">
            <w:pPr>
              <w:jc w:val="center"/>
              <w:rPr>
                <w:sz w:val="16"/>
                <w:szCs w:val="16"/>
              </w:rPr>
            </w:pPr>
            <w:r w:rsidRPr="0006190C">
              <w:rPr>
                <w:sz w:val="16"/>
                <w:szCs w:val="16"/>
              </w:rPr>
              <w:t>1247</w:t>
            </w:r>
          </w:p>
          <w:p w14:paraId="0DE68AB1" w14:textId="19313488" w:rsidR="00271B87" w:rsidRPr="0006190C" w:rsidRDefault="00271B87" w:rsidP="00271B87">
            <w:pPr>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47B0A" w14:textId="77777777" w:rsidR="00271B87" w:rsidRPr="0006190C" w:rsidRDefault="00271B87" w:rsidP="00271B87">
            <w:pPr>
              <w:jc w:val="center"/>
              <w:rPr>
                <w:sz w:val="16"/>
                <w:szCs w:val="16"/>
              </w:rPr>
            </w:pPr>
            <w:r w:rsidRPr="0006190C">
              <w:rPr>
                <w:sz w:val="16"/>
                <w:szCs w:val="16"/>
              </w:rPr>
              <w:t>2258</w:t>
            </w:r>
          </w:p>
          <w:p w14:paraId="60636764" w14:textId="3B6A4777" w:rsidR="00271B87" w:rsidRPr="0006190C" w:rsidRDefault="00271B87" w:rsidP="00271B87">
            <w:pPr>
              <w:jc w:val="center"/>
              <w:rPr>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9DC04" w14:textId="4766D3FB" w:rsidR="00271B87" w:rsidRPr="0006190C" w:rsidRDefault="00271B87" w:rsidP="00271B87">
            <w:pPr>
              <w:jc w:val="center"/>
              <w:rPr>
                <w:sz w:val="16"/>
                <w:szCs w:val="16"/>
              </w:rPr>
            </w:pPr>
            <w:r w:rsidRPr="0006190C">
              <w:rPr>
                <w:sz w:val="16"/>
                <w:szCs w:val="16"/>
              </w:rPr>
              <w:t>196</w:t>
            </w:r>
            <w:r w:rsidR="008D3287" w:rsidRPr="0006190C">
              <w:rPr>
                <w:sz w:val="16"/>
                <w:szCs w:val="16"/>
              </w:rPr>
              <w:t>3</w:t>
            </w:r>
          </w:p>
          <w:p w14:paraId="60823EEB" w14:textId="61733AF6" w:rsidR="00271B87" w:rsidRPr="0006190C" w:rsidRDefault="00271B87" w:rsidP="00271B87">
            <w:pPr>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C85BC" w14:textId="77777777" w:rsidR="00271B87" w:rsidRPr="0006190C" w:rsidRDefault="00271B87" w:rsidP="00271B87">
            <w:pPr>
              <w:jc w:val="center"/>
              <w:rPr>
                <w:sz w:val="16"/>
                <w:szCs w:val="16"/>
              </w:rPr>
            </w:pPr>
            <w:r w:rsidRPr="0006190C">
              <w:rPr>
                <w:sz w:val="16"/>
                <w:szCs w:val="16"/>
              </w:rPr>
              <w:t>3574</w:t>
            </w:r>
          </w:p>
          <w:p w14:paraId="7FB4A42B" w14:textId="7647080B" w:rsidR="00271B87" w:rsidRPr="0006190C" w:rsidRDefault="00271B87" w:rsidP="00271B87">
            <w:pPr>
              <w:jc w:val="center"/>
              <w:rPr>
                <w:sz w:val="16"/>
                <w:szCs w:val="16"/>
              </w:rPr>
            </w:pP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F35FD" w14:textId="77777777" w:rsidR="00271B87" w:rsidRPr="0006190C" w:rsidRDefault="00271B87" w:rsidP="00271B87">
            <w:pPr>
              <w:jc w:val="center"/>
              <w:rPr>
                <w:sz w:val="16"/>
                <w:szCs w:val="16"/>
              </w:rPr>
            </w:pPr>
            <w:r w:rsidRPr="0006190C">
              <w:rPr>
                <w:sz w:val="16"/>
                <w:szCs w:val="16"/>
              </w:rPr>
              <w:t>1942</w:t>
            </w:r>
          </w:p>
          <w:p w14:paraId="500B0DEA" w14:textId="734C0C42" w:rsidR="00271B87" w:rsidRPr="0006190C" w:rsidRDefault="00271B87" w:rsidP="00271B87">
            <w:pPr>
              <w:jc w:val="center"/>
              <w:rPr>
                <w:sz w:val="16"/>
                <w:szCs w:val="16"/>
              </w:rPr>
            </w:pPr>
          </w:p>
        </w:tc>
        <w:tc>
          <w:tcPr>
            <w:tcW w:w="769" w:type="dxa"/>
            <w:tcBorders>
              <w:top w:val="single" w:sz="4" w:space="0" w:color="auto"/>
              <w:left w:val="single" w:sz="4" w:space="0" w:color="auto"/>
              <w:bottom w:val="single" w:sz="4" w:space="0" w:color="auto"/>
              <w:right w:val="single" w:sz="4" w:space="0" w:color="auto"/>
            </w:tcBorders>
            <w:shd w:val="clear" w:color="auto" w:fill="auto"/>
            <w:noWrap/>
          </w:tcPr>
          <w:p w14:paraId="5321B36E" w14:textId="0B6E9339" w:rsidR="00271B87" w:rsidRPr="0006190C" w:rsidRDefault="00271B87" w:rsidP="00271B87">
            <w:pPr>
              <w:jc w:val="center"/>
              <w:rPr>
                <w:rFonts w:ascii="Times New Roman" w:hAnsi="Times New Roman"/>
                <w:b/>
                <w:bCs/>
                <w:sz w:val="16"/>
                <w:szCs w:val="16"/>
              </w:rPr>
            </w:pPr>
            <w:r w:rsidRPr="0006190C">
              <w:rPr>
                <w:sz w:val="16"/>
                <w:szCs w:val="16"/>
              </w:rPr>
              <w:t>1098</w:t>
            </w:r>
            <w:r w:rsidR="008D3287" w:rsidRPr="0006190C">
              <w:rPr>
                <w:sz w:val="16"/>
                <w:szCs w:val="16"/>
              </w:rPr>
              <w:t>4</w:t>
            </w:r>
          </w:p>
        </w:tc>
      </w:tr>
    </w:tbl>
    <w:p w14:paraId="215D9DD9" w14:textId="14BF03C8" w:rsidR="0053107F" w:rsidRPr="0053107F" w:rsidRDefault="0053107F" w:rsidP="0053107F">
      <w:pPr>
        <w:jc w:val="center"/>
        <w:rPr>
          <w:rFonts w:ascii="Times New Roman" w:hAnsi="Times New Roman"/>
          <w:i/>
          <w:iCs/>
          <w:sz w:val="18"/>
          <w:szCs w:val="18"/>
        </w:rPr>
      </w:pPr>
      <w:r w:rsidRPr="00EE22F2">
        <w:rPr>
          <w:rFonts w:ascii="Times New Roman" w:hAnsi="Times New Roman"/>
          <w:i/>
          <w:iCs/>
          <w:sz w:val="18"/>
          <w:szCs w:val="18"/>
        </w:rPr>
        <w:t xml:space="preserve"> Fuente: SDA 2020</w:t>
      </w:r>
    </w:p>
    <w:p w14:paraId="2458B447" w14:textId="77777777" w:rsidR="003C15E2" w:rsidRPr="0053107F" w:rsidRDefault="003C15E2">
      <w:pPr>
        <w:pBdr>
          <w:top w:val="nil"/>
          <w:left w:val="nil"/>
          <w:bottom w:val="nil"/>
          <w:right w:val="nil"/>
          <w:between w:val="nil"/>
        </w:pBdr>
        <w:jc w:val="left"/>
        <w:rPr>
          <w:rFonts w:ascii="Times New Roman" w:hAnsi="Times New Roman"/>
          <w:i/>
          <w:iCs/>
          <w:sz w:val="18"/>
          <w:szCs w:val="18"/>
        </w:rPr>
        <w:sectPr w:rsidR="003C15E2" w:rsidRPr="0053107F" w:rsidSect="003C15E2">
          <w:headerReference w:type="default" r:id="rId24"/>
          <w:pgSz w:w="15840" w:h="12240" w:orient="landscape"/>
          <w:pgMar w:top="1701" w:right="1418" w:bottom="1701" w:left="1418" w:header="709" w:footer="709" w:gutter="0"/>
          <w:pgNumType w:start="1"/>
          <w:cols w:space="720"/>
        </w:sectPr>
      </w:pPr>
    </w:p>
    <w:p w14:paraId="53306B31" w14:textId="77777777" w:rsidR="00833F63" w:rsidRPr="00833F63" w:rsidRDefault="00833F63" w:rsidP="00833F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62C1189" w14:textId="09A32789" w:rsidR="00F550E3" w:rsidRPr="00E2412F"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54AA7DF0" w14:textId="77777777" w:rsidR="003C5B15" w:rsidRDefault="003C5B15" w:rsidP="00833F63">
      <w:pPr>
        <w:pStyle w:val="Prrafodelista"/>
        <w:ind w:left="851"/>
        <w:contextualSpacing/>
        <w:jc w:val="left"/>
        <w:rPr>
          <w:rFonts w:ascii="Times New Roman" w:hAnsi="Times New Roman"/>
          <w:sz w:val="22"/>
          <w:szCs w:val="22"/>
          <w:lang w:eastAsia="es-CO"/>
        </w:rPr>
      </w:pPr>
      <w:bookmarkStart w:id="16" w:name="_Hlk55299172"/>
    </w:p>
    <w:p w14:paraId="0698DEAE" w14:textId="4363546C" w:rsidR="00833F63" w:rsidRDefault="003C5B15" w:rsidP="00833F63">
      <w:pPr>
        <w:pStyle w:val="Prrafodelista"/>
        <w:ind w:left="851"/>
        <w:contextualSpacing/>
        <w:jc w:val="left"/>
        <w:rPr>
          <w:rFonts w:ascii="Times New Roman" w:hAnsi="Times New Roman"/>
          <w:sz w:val="22"/>
          <w:szCs w:val="22"/>
          <w:lang w:eastAsia="es-CO"/>
        </w:rPr>
      </w:pPr>
      <w:r>
        <w:rPr>
          <w:rFonts w:ascii="Times New Roman" w:hAnsi="Times New Roman"/>
          <w:sz w:val="22"/>
          <w:szCs w:val="22"/>
          <w:lang w:eastAsia="es-CO"/>
        </w:rPr>
        <w:t>Tabla 18</w:t>
      </w:r>
      <w:r w:rsidR="00833F63">
        <w:rPr>
          <w:rFonts w:ascii="Times New Roman" w:hAnsi="Times New Roman"/>
          <w:sz w:val="22"/>
          <w:szCs w:val="22"/>
          <w:lang w:eastAsia="es-CO"/>
        </w:rPr>
        <w:t xml:space="preserve"> Anualización de las metas proyecto de inversión – (cifra en millones de pesos m/cte)</w:t>
      </w:r>
      <w:r w:rsidR="005A7F13">
        <w:rPr>
          <w:rFonts w:ascii="Times New Roman" w:hAnsi="Times New Roman"/>
          <w:sz w:val="22"/>
          <w:szCs w:val="22"/>
          <w:lang w:eastAsia="es-CO"/>
        </w:rPr>
        <w:t>.</w:t>
      </w:r>
    </w:p>
    <w:p w14:paraId="46BF02FE" w14:textId="77777777" w:rsidR="005A7F13" w:rsidRDefault="005A7F13" w:rsidP="00833F63">
      <w:pPr>
        <w:pStyle w:val="Prrafodelista"/>
        <w:ind w:left="851"/>
        <w:contextualSpacing/>
        <w:jc w:val="left"/>
        <w:rPr>
          <w:rFonts w:ascii="Times New Roman" w:hAnsi="Times New Roman"/>
          <w:sz w:val="22"/>
          <w:szCs w:val="22"/>
          <w:lang w:eastAsia="es-CO"/>
        </w:rPr>
      </w:pPr>
    </w:p>
    <w:tbl>
      <w:tblPr>
        <w:tblW w:w="555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9"/>
        <w:gridCol w:w="806"/>
        <w:gridCol w:w="941"/>
        <w:gridCol w:w="939"/>
        <w:gridCol w:w="806"/>
        <w:gridCol w:w="939"/>
        <w:gridCol w:w="941"/>
      </w:tblGrid>
      <w:tr w:rsidR="00833F63" w14:paraId="45FA4920" w14:textId="77777777" w:rsidTr="00C511B8">
        <w:trPr>
          <w:trHeight w:val="330"/>
          <w:tblHeader/>
        </w:trPr>
        <w:tc>
          <w:tcPr>
            <w:tcW w:w="2259"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1A37ED2" w14:textId="77777777" w:rsidR="00833F63" w:rsidRDefault="00833F63">
            <w:pPr>
              <w:spacing w:line="256" w:lineRule="auto"/>
              <w:jc w:val="center"/>
              <w:rPr>
                <w:rFonts w:ascii="Times New Roman" w:hAnsi="Times New Roman"/>
                <w:b/>
                <w:bCs/>
                <w:color w:val="FFFFFF"/>
                <w:sz w:val="22"/>
                <w:szCs w:val="22"/>
              </w:rPr>
            </w:pPr>
            <w:r>
              <w:rPr>
                <w:rFonts w:ascii="Times New Roman" w:hAnsi="Times New Roman"/>
                <w:b/>
                <w:bCs/>
                <w:color w:val="FFFFFF"/>
                <w:sz w:val="20"/>
                <w:szCs w:val="22"/>
              </w:rPr>
              <w:t>META PROYECTO INVERSION</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450E4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42EC9A"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7BAC1B"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98671A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5C41360"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bottom"/>
            <w:hideMark/>
          </w:tcPr>
          <w:p w14:paraId="5E282AAE" w14:textId="77777777" w:rsidR="00833F63" w:rsidRDefault="00833F63">
            <w:pPr>
              <w:spacing w:line="256" w:lineRule="auto"/>
              <w:jc w:val="center"/>
              <w:rPr>
                <w:rFonts w:ascii="Times New Roman" w:hAnsi="Times New Roman"/>
                <w:b/>
                <w:bCs/>
                <w:color w:val="000000"/>
                <w:sz w:val="22"/>
                <w:szCs w:val="22"/>
                <w:lang w:eastAsia="es-CO"/>
              </w:rPr>
            </w:pPr>
            <w:r>
              <w:rPr>
                <w:rFonts w:ascii="Times New Roman" w:hAnsi="Times New Roman"/>
                <w:b/>
                <w:bCs/>
                <w:color w:val="FFFFFF"/>
                <w:sz w:val="22"/>
                <w:szCs w:val="22"/>
              </w:rPr>
              <w:t>TOTAL</w:t>
            </w:r>
          </w:p>
        </w:tc>
      </w:tr>
      <w:tr w:rsidR="00C511B8" w:rsidRPr="00833F63" w14:paraId="14E2B53F" w14:textId="77777777" w:rsidTr="00C511B8">
        <w:trPr>
          <w:trHeight w:val="323"/>
        </w:trPr>
        <w:tc>
          <w:tcPr>
            <w:tcW w:w="2259" w:type="pct"/>
            <w:tcBorders>
              <w:top w:val="single" w:sz="4" w:space="0" w:color="auto"/>
              <w:left w:val="single" w:sz="4" w:space="0" w:color="auto"/>
              <w:bottom w:val="single" w:sz="4" w:space="0" w:color="auto"/>
              <w:right w:val="single" w:sz="4" w:space="0" w:color="auto"/>
            </w:tcBorders>
            <w:vAlign w:val="center"/>
            <w:hideMark/>
          </w:tcPr>
          <w:p w14:paraId="2DD42A64" w14:textId="77777777" w:rsidR="00C511B8" w:rsidRPr="00833F63" w:rsidRDefault="00C511B8" w:rsidP="00C511B8">
            <w:pPr>
              <w:spacing w:line="256" w:lineRule="auto"/>
              <w:rPr>
                <w:rFonts w:ascii="Times New Roman" w:hAnsi="Times New Roman"/>
                <w:i/>
                <w:iCs/>
                <w:color w:val="000000"/>
                <w:sz w:val="20"/>
                <w:lang w:eastAsia="es-CO"/>
              </w:rPr>
            </w:pPr>
            <w:r w:rsidRPr="00833F63">
              <w:rPr>
                <w:rFonts w:ascii="Times New Roman" w:hAnsi="Times New Roman"/>
                <w:i/>
                <w:iCs/>
                <w:color w:val="000000"/>
                <w:sz w:val="20"/>
              </w:rPr>
              <w:t>Realizar 215 actividades de evaluación, control y seguimiento como mínimo, a predios identificados como sitios potencialmente contaminados, sitios contaminados o con pasivos ambientales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3F6B0908" w14:textId="45E49979" w:rsidR="00C511B8" w:rsidRPr="008C086D" w:rsidRDefault="00C511B8" w:rsidP="00C511B8">
            <w:pPr>
              <w:spacing w:line="256" w:lineRule="auto"/>
              <w:jc w:val="center"/>
              <w:rPr>
                <w:rFonts w:cs="Arial"/>
                <w:sz w:val="16"/>
                <w:szCs w:val="16"/>
              </w:rPr>
            </w:pPr>
            <w:r w:rsidRPr="008C086D">
              <w:rPr>
                <w:rFonts w:cs="Arial"/>
                <w:color w:val="000000"/>
                <w:sz w:val="16"/>
                <w:szCs w:val="16"/>
              </w:rPr>
              <w:t>421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6556C" w14:textId="5BF46A36" w:rsidR="00C511B8" w:rsidRPr="008C086D" w:rsidRDefault="00C511B8" w:rsidP="00C511B8">
            <w:pPr>
              <w:spacing w:line="256" w:lineRule="auto"/>
              <w:jc w:val="center"/>
              <w:rPr>
                <w:rFonts w:cs="Arial"/>
                <w:color w:val="000000"/>
                <w:sz w:val="16"/>
                <w:szCs w:val="16"/>
              </w:rPr>
            </w:pPr>
            <w:r w:rsidRPr="008C086D">
              <w:rPr>
                <w:rFonts w:cs="Arial"/>
                <w:color w:val="000000"/>
                <w:sz w:val="16"/>
                <w:szCs w:val="16"/>
              </w:rPr>
              <w:t>786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7B7BA" w14:textId="4992226C" w:rsidR="00C511B8" w:rsidRPr="008C086D" w:rsidRDefault="00C511B8" w:rsidP="00C511B8">
            <w:pPr>
              <w:spacing w:line="256" w:lineRule="auto"/>
              <w:jc w:val="center"/>
              <w:rPr>
                <w:rFonts w:cs="Arial"/>
                <w:sz w:val="16"/>
                <w:szCs w:val="16"/>
              </w:rPr>
            </w:pPr>
            <w:r w:rsidRPr="008C086D">
              <w:rPr>
                <w:rFonts w:cs="Arial"/>
                <w:color w:val="000000"/>
                <w:sz w:val="16"/>
                <w:szCs w:val="16"/>
              </w:rPr>
              <w:t>692</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0037C" w14:textId="7394243B" w:rsidR="00C511B8" w:rsidRPr="008C086D" w:rsidRDefault="00C511B8" w:rsidP="00C511B8">
            <w:pPr>
              <w:spacing w:line="256" w:lineRule="auto"/>
              <w:jc w:val="center"/>
              <w:rPr>
                <w:rFonts w:cs="Arial"/>
                <w:color w:val="000000"/>
                <w:sz w:val="16"/>
                <w:szCs w:val="16"/>
              </w:rPr>
            </w:pPr>
            <w:r w:rsidRPr="008C086D">
              <w:rPr>
                <w:rFonts w:cs="Arial"/>
                <w:color w:val="000000"/>
                <w:sz w:val="16"/>
                <w:szCs w:val="16"/>
              </w:rPr>
              <w:t>926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26644" w14:textId="5DC198DB" w:rsidR="00C511B8" w:rsidRPr="008C086D" w:rsidRDefault="00C511B8" w:rsidP="00C511B8">
            <w:pPr>
              <w:spacing w:line="256" w:lineRule="auto"/>
              <w:jc w:val="center"/>
              <w:rPr>
                <w:rFonts w:cs="Arial"/>
                <w:sz w:val="16"/>
                <w:szCs w:val="16"/>
              </w:rPr>
            </w:pPr>
            <w:r w:rsidRPr="008C086D">
              <w:rPr>
                <w:rFonts w:cs="Arial"/>
                <w:color w:val="000000"/>
                <w:sz w:val="16"/>
                <w:szCs w:val="16"/>
              </w:rPr>
              <w:t>656</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3BBF8FF1" w14:textId="094EBE5F" w:rsidR="000F236D" w:rsidRPr="008C086D" w:rsidRDefault="000F236D" w:rsidP="000F236D">
            <w:pPr>
              <w:spacing w:line="256" w:lineRule="auto"/>
              <w:rPr>
                <w:rFonts w:cs="Arial"/>
                <w:color w:val="000000"/>
                <w:sz w:val="16"/>
                <w:szCs w:val="16"/>
              </w:rPr>
            </w:pPr>
          </w:p>
          <w:p w14:paraId="0F819567" w14:textId="77777777" w:rsidR="000F236D" w:rsidRPr="008C086D" w:rsidRDefault="000F236D" w:rsidP="000F236D">
            <w:pPr>
              <w:spacing w:line="256" w:lineRule="auto"/>
              <w:rPr>
                <w:rFonts w:cs="Arial"/>
                <w:color w:val="000000"/>
                <w:sz w:val="16"/>
                <w:szCs w:val="16"/>
              </w:rPr>
            </w:pPr>
          </w:p>
          <w:p w14:paraId="6AD97780" w14:textId="77777777" w:rsidR="000F236D" w:rsidRPr="008C086D" w:rsidRDefault="000F236D" w:rsidP="000F236D">
            <w:pPr>
              <w:spacing w:line="256" w:lineRule="auto"/>
              <w:rPr>
                <w:rFonts w:cs="Arial"/>
                <w:color w:val="000000"/>
                <w:sz w:val="16"/>
                <w:szCs w:val="16"/>
              </w:rPr>
            </w:pPr>
            <w:r w:rsidRPr="008C086D">
              <w:rPr>
                <w:rFonts w:cs="Arial"/>
                <w:color w:val="000000"/>
                <w:sz w:val="16"/>
                <w:szCs w:val="16"/>
              </w:rPr>
              <w:t xml:space="preserve"> </w:t>
            </w:r>
          </w:p>
          <w:p w14:paraId="7B41E815" w14:textId="0E0FB910" w:rsidR="00C511B8" w:rsidRPr="008C086D" w:rsidRDefault="000F236D" w:rsidP="000F236D">
            <w:pPr>
              <w:spacing w:line="256" w:lineRule="auto"/>
              <w:rPr>
                <w:rFonts w:cs="Arial"/>
                <w:color w:val="000000"/>
                <w:sz w:val="16"/>
                <w:szCs w:val="16"/>
              </w:rPr>
            </w:pPr>
            <w:r w:rsidRPr="008C086D">
              <w:rPr>
                <w:rFonts w:cs="Arial"/>
                <w:color w:val="000000"/>
                <w:sz w:val="16"/>
                <w:szCs w:val="16"/>
              </w:rPr>
              <w:t xml:space="preserve"> </w:t>
            </w:r>
            <w:r w:rsidR="00C511B8" w:rsidRPr="008C086D">
              <w:rPr>
                <w:rFonts w:cs="Arial"/>
                <w:color w:val="000000"/>
                <w:sz w:val="16"/>
                <w:szCs w:val="16"/>
              </w:rPr>
              <w:t>348</w:t>
            </w:r>
            <w:r w:rsidR="0006190C" w:rsidRPr="008C086D">
              <w:rPr>
                <w:rFonts w:cs="Arial"/>
                <w:color w:val="000000"/>
                <w:sz w:val="16"/>
                <w:szCs w:val="16"/>
              </w:rPr>
              <w:t>1</w:t>
            </w:r>
          </w:p>
          <w:p w14:paraId="25E5657A" w14:textId="3F01E020" w:rsidR="000F236D" w:rsidRPr="008C086D" w:rsidRDefault="000F236D" w:rsidP="000F236D">
            <w:pPr>
              <w:spacing w:line="256" w:lineRule="auto"/>
              <w:rPr>
                <w:rFonts w:cs="Arial"/>
                <w:color w:val="000000"/>
                <w:sz w:val="16"/>
                <w:szCs w:val="16"/>
              </w:rPr>
            </w:pPr>
          </w:p>
          <w:p w14:paraId="460001B8" w14:textId="77777777" w:rsidR="000F236D" w:rsidRPr="008C086D" w:rsidRDefault="000F236D" w:rsidP="000F236D">
            <w:pPr>
              <w:spacing w:line="256" w:lineRule="auto"/>
              <w:rPr>
                <w:rFonts w:cs="Arial"/>
                <w:color w:val="000000"/>
                <w:sz w:val="16"/>
                <w:szCs w:val="16"/>
              </w:rPr>
            </w:pPr>
          </w:p>
          <w:p w14:paraId="5AA0EC5E" w14:textId="77777777" w:rsidR="00C511B8" w:rsidRPr="008C086D" w:rsidRDefault="00C511B8" w:rsidP="00C511B8">
            <w:pPr>
              <w:spacing w:line="256" w:lineRule="auto"/>
              <w:jc w:val="center"/>
              <w:rPr>
                <w:rFonts w:cs="Arial"/>
                <w:color w:val="000000"/>
                <w:sz w:val="16"/>
                <w:szCs w:val="16"/>
              </w:rPr>
            </w:pPr>
          </w:p>
          <w:p w14:paraId="70CA1DB6" w14:textId="6A98C4C9" w:rsidR="00C511B8" w:rsidRPr="008C086D" w:rsidRDefault="00C511B8" w:rsidP="00C511B8">
            <w:pPr>
              <w:spacing w:line="256" w:lineRule="auto"/>
              <w:rPr>
                <w:rFonts w:cs="Arial"/>
                <w:color w:val="000000"/>
                <w:sz w:val="16"/>
                <w:szCs w:val="16"/>
              </w:rPr>
            </w:pPr>
          </w:p>
        </w:tc>
      </w:tr>
      <w:tr w:rsidR="00C511B8" w:rsidRPr="00833F63" w14:paraId="1DE5A247"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584FFB8A" w14:textId="77777777" w:rsidR="00C511B8" w:rsidRPr="00833F63" w:rsidRDefault="00C511B8" w:rsidP="00C511B8">
            <w:pPr>
              <w:spacing w:line="256" w:lineRule="auto"/>
              <w:rPr>
                <w:rFonts w:ascii="Times New Roman" w:hAnsi="Times New Roman"/>
                <w:i/>
                <w:iCs/>
                <w:sz w:val="20"/>
              </w:rPr>
            </w:pPr>
            <w:r w:rsidRPr="00833F63">
              <w:rPr>
                <w:rFonts w:ascii="Times New Roman" w:hAnsi="Times New Roman"/>
                <w:i/>
                <w:iCs/>
                <w:color w:val="000000"/>
                <w:sz w:val="20"/>
              </w:rPr>
              <w:t>Ejecutar 567 actividades de evaluación, control y seguimiento como mínimo, a predios que realizan o realizaron almacenamiento y distribución de hidrocarburos líquidos derivados del petróleo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F71CC2E" w14:textId="3ECC9034" w:rsidR="00C511B8" w:rsidRPr="008C086D" w:rsidRDefault="00C511B8" w:rsidP="00C511B8">
            <w:pPr>
              <w:spacing w:line="256" w:lineRule="auto"/>
              <w:jc w:val="center"/>
              <w:rPr>
                <w:rFonts w:cs="Arial"/>
                <w:sz w:val="16"/>
                <w:szCs w:val="16"/>
              </w:rPr>
            </w:pPr>
            <w:r w:rsidRPr="008C086D">
              <w:rPr>
                <w:rFonts w:cs="Arial"/>
                <w:color w:val="000000"/>
                <w:sz w:val="16"/>
                <w:szCs w:val="16"/>
              </w:rPr>
              <w:t>376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2BB88" w14:textId="479713FA" w:rsidR="00C511B8" w:rsidRPr="008C086D" w:rsidRDefault="00C511B8" w:rsidP="00C511B8">
            <w:pPr>
              <w:spacing w:line="256" w:lineRule="auto"/>
              <w:jc w:val="center"/>
              <w:rPr>
                <w:rFonts w:cs="Arial"/>
                <w:color w:val="000000"/>
                <w:sz w:val="16"/>
                <w:szCs w:val="16"/>
              </w:rPr>
            </w:pPr>
            <w:r w:rsidRPr="008C086D">
              <w:rPr>
                <w:rFonts w:cs="Arial"/>
                <w:color w:val="000000"/>
                <w:sz w:val="16"/>
                <w:szCs w:val="16"/>
              </w:rPr>
              <w:t>676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11A70" w14:textId="0527FBFE" w:rsidR="00C511B8" w:rsidRPr="008C086D" w:rsidRDefault="00C511B8" w:rsidP="00C511B8">
            <w:pPr>
              <w:spacing w:line="256" w:lineRule="auto"/>
              <w:jc w:val="center"/>
              <w:rPr>
                <w:rFonts w:cs="Arial"/>
                <w:sz w:val="16"/>
                <w:szCs w:val="16"/>
              </w:rPr>
            </w:pPr>
            <w:r w:rsidRPr="008C086D">
              <w:rPr>
                <w:rFonts w:cs="Arial"/>
                <w:sz w:val="16"/>
                <w:szCs w:val="16"/>
              </w:rPr>
              <w:t>410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FFFD9" w14:textId="4CBF9C4E" w:rsidR="00C511B8" w:rsidRPr="008C086D" w:rsidRDefault="00C511B8" w:rsidP="00C511B8">
            <w:pPr>
              <w:spacing w:line="256" w:lineRule="auto"/>
              <w:jc w:val="center"/>
              <w:rPr>
                <w:rFonts w:cs="Arial"/>
                <w:sz w:val="16"/>
                <w:szCs w:val="16"/>
              </w:rPr>
            </w:pPr>
            <w:r w:rsidRPr="008C086D">
              <w:rPr>
                <w:rFonts w:cs="Arial"/>
                <w:color w:val="000000"/>
                <w:sz w:val="16"/>
                <w:szCs w:val="16"/>
              </w:rPr>
              <w:t>7</w:t>
            </w:r>
            <w:r w:rsidR="0006190C" w:rsidRPr="008C086D">
              <w:rPr>
                <w:rFonts w:cs="Arial"/>
                <w:color w:val="000000"/>
                <w:sz w:val="16"/>
                <w:szCs w:val="16"/>
              </w:rPr>
              <w:t>38</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6F46A" w14:textId="36BAD036" w:rsidR="00C511B8" w:rsidRPr="008C086D" w:rsidRDefault="00C511B8" w:rsidP="00C511B8">
            <w:pPr>
              <w:spacing w:line="256" w:lineRule="auto"/>
              <w:jc w:val="center"/>
              <w:rPr>
                <w:rFonts w:cs="Arial"/>
                <w:sz w:val="16"/>
                <w:szCs w:val="16"/>
              </w:rPr>
            </w:pPr>
            <w:r w:rsidRPr="008C086D">
              <w:rPr>
                <w:rFonts w:cs="Arial"/>
                <w:color w:val="000000"/>
                <w:sz w:val="16"/>
                <w:szCs w:val="16"/>
              </w:rPr>
              <w:t>617</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3AD22008" w14:textId="1D551469" w:rsidR="00C511B8" w:rsidRPr="008C086D" w:rsidRDefault="000F236D" w:rsidP="000F236D">
            <w:pPr>
              <w:spacing w:line="256" w:lineRule="auto"/>
              <w:rPr>
                <w:rFonts w:cs="Arial"/>
                <w:color w:val="000000"/>
                <w:sz w:val="16"/>
                <w:szCs w:val="16"/>
              </w:rPr>
            </w:pPr>
            <w:r w:rsidRPr="008C086D">
              <w:rPr>
                <w:rFonts w:cs="Arial"/>
                <w:color w:val="000000"/>
                <w:sz w:val="16"/>
                <w:szCs w:val="16"/>
              </w:rPr>
              <w:t xml:space="preserve"> </w:t>
            </w:r>
            <w:r w:rsidR="00C511B8" w:rsidRPr="008C086D">
              <w:rPr>
                <w:rFonts w:cs="Arial"/>
                <w:color w:val="000000"/>
                <w:sz w:val="16"/>
                <w:szCs w:val="16"/>
              </w:rPr>
              <w:t>28</w:t>
            </w:r>
            <w:r w:rsidR="00EB44EB" w:rsidRPr="008C086D">
              <w:rPr>
                <w:rFonts w:cs="Arial"/>
                <w:color w:val="000000"/>
                <w:sz w:val="16"/>
                <w:szCs w:val="16"/>
              </w:rPr>
              <w:t>17</w:t>
            </w:r>
          </w:p>
          <w:p w14:paraId="37B8836E" w14:textId="3C96D80C" w:rsidR="000F236D" w:rsidRPr="008C086D" w:rsidRDefault="000F236D" w:rsidP="000F236D">
            <w:pPr>
              <w:spacing w:line="256" w:lineRule="auto"/>
              <w:rPr>
                <w:rFonts w:cs="Arial"/>
                <w:color w:val="000000"/>
                <w:sz w:val="16"/>
                <w:szCs w:val="16"/>
              </w:rPr>
            </w:pPr>
          </w:p>
          <w:p w14:paraId="25843B71" w14:textId="77777777" w:rsidR="000F236D" w:rsidRPr="008C086D" w:rsidRDefault="000F236D" w:rsidP="000F236D">
            <w:pPr>
              <w:spacing w:line="256" w:lineRule="auto"/>
              <w:rPr>
                <w:rFonts w:cs="Arial"/>
                <w:color w:val="000000"/>
                <w:sz w:val="16"/>
                <w:szCs w:val="16"/>
              </w:rPr>
            </w:pPr>
          </w:p>
          <w:p w14:paraId="4B4B2C0C" w14:textId="792FD382" w:rsidR="00C511B8" w:rsidRPr="008C086D" w:rsidRDefault="00C511B8" w:rsidP="00C511B8">
            <w:pPr>
              <w:spacing w:line="256" w:lineRule="auto"/>
              <w:rPr>
                <w:rFonts w:cs="Arial"/>
                <w:color w:val="000000"/>
                <w:sz w:val="16"/>
                <w:szCs w:val="16"/>
              </w:rPr>
            </w:pPr>
          </w:p>
        </w:tc>
      </w:tr>
      <w:tr w:rsidR="00C511B8" w:rsidRPr="00833F63" w14:paraId="2568B44C"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D8F3013" w14:textId="77777777" w:rsidR="00C511B8" w:rsidRPr="00833F63" w:rsidRDefault="00C511B8" w:rsidP="00C511B8">
            <w:pPr>
              <w:spacing w:line="256" w:lineRule="auto"/>
              <w:rPr>
                <w:rFonts w:ascii="Times New Roman" w:hAnsi="Times New Roman"/>
                <w:i/>
                <w:iCs/>
                <w:sz w:val="20"/>
              </w:rPr>
            </w:pPr>
            <w:r w:rsidRPr="00833F63">
              <w:rPr>
                <w:rFonts w:ascii="Times New Roman" w:hAnsi="Times New Roman"/>
                <w:i/>
                <w:iCs/>
                <w:color w:val="000000"/>
                <w:sz w:val="20"/>
              </w:rPr>
              <w:t>Realizar 218 actividades de evaluación, control y seguimiento como mínimo, a predios afectados por la actividad extractiva de minerales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933F7CF" w14:textId="65E6E118" w:rsidR="00C511B8" w:rsidRPr="008C086D" w:rsidRDefault="00C511B8" w:rsidP="00C511B8">
            <w:pPr>
              <w:spacing w:line="256" w:lineRule="auto"/>
              <w:jc w:val="center"/>
              <w:rPr>
                <w:rFonts w:cs="Arial"/>
                <w:sz w:val="16"/>
                <w:szCs w:val="16"/>
              </w:rPr>
            </w:pPr>
            <w:r w:rsidRPr="008C086D">
              <w:rPr>
                <w:rFonts w:cs="Arial"/>
                <w:color w:val="000000"/>
                <w:sz w:val="16"/>
                <w:szCs w:val="16"/>
              </w:rPr>
              <w:t>251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68ECC" w14:textId="3AFD3DFC" w:rsidR="00C511B8" w:rsidRPr="008C086D" w:rsidRDefault="00C511B8" w:rsidP="00C511B8">
            <w:pPr>
              <w:spacing w:line="256" w:lineRule="auto"/>
              <w:jc w:val="center"/>
              <w:rPr>
                <w:rFonts w:cs="Arial"/>
                <w:color w:val="000000"/>
                <w:sz w:val="16"/>
                <w:szCs w:val="16"/>
              </w:rPr>
            </w:pPr>
            <w:r w:rsidRPr="008C086D">
              <w:rPr>
                <w:rFonts w:cs="Arial"/>
                <w:color w:val="000000"/>
                <w:sz w:val="16"/>
                <w:szCs w:val="16"/>
              </w:rPr>
              <w:t>473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116B5" w14:textId="267E205A" w:rsidR="00C511B8" w:rsidRPr="008C086D" w:rsidRDefault="00C511B8" w:rsidP="00C511B8">
            <w:pPr>
              <w:spacing w:line="256" w:lineRule="auto"/>
              <w:jc w:val="center"/>
              <w:rPr>
                <w:rFonts w:cs="Arial"/>
                <w:sz w:val="16"/>
                <w:szCs w:val="16"/>
              </w:rPr>
            </w:pPr>
            <w:r w:rsidRPr="008C086D">
              <w:rPr>
                <w:rFonts w:cs="Arial"/>
                <w:color w:val="000000"/>
                <w:sz w:val="16"/>
                <w:szCs w:val="16"/>
              </w:rPr>
              <w:t>5</w:t>
            </w:r>
            <w:r w:rsidR="008D3287" w:rsidRPr="008C086D">
              <w:rPr>
                <w:rFonts w:cs="Arial"/>
                <w:color w:val="000000"/>
                <w:sz w:val="16"/>
                <w:szCs w:val="16"/>
              </w:rPr>
              <w:t>40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0D521" w14:textId="58D7BA56" w:rsidR="00C511B8" w:rsidRPr="008C086D" w:rsidRDefault="0006190C" w:rsidP="00C511B8">
            <w:pPr>
              <w:spacing w:line="256" w:lineRule="auto"/>
              <w:jc w:val="center"/>
              <w:rPr>
                <w:rFonts w:cs="Arial"/>
                <w:sz w:val="16"/>
                <w:szCs w:val="16"/>
              </w:rPr>
            </w:pPr>
            <w:r w:rsidRPr="008C086D">
              <w:rPr>
                <w:rFonts w:cs="Arial"/>
                <w:sz w:val="16"/>
                <w:szCs w:val="16"/>
              </w:rPr>
              <w:t>613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D0F62" w14:textId="471B20D7" w:rsidR="00C511B8" w:rsidRPr="008C086D" w:rsidRDefault="00C511B8" w:rsidP="00C511B8">
            <w:pPr>
              <w:spacing w:line="256" w:lineRule="auto"/>
              <w:jc w:val="center"/>
              <w:rPr>
                <w:rFonts w:cs="Arial"/>
                <w:sz w:val="16"/>
                <w:szCs w:val="16"/>
              </w:rPr>
            </w:pPr>
            <w:r w:rsidRPr="008C086D">
              <w:rPr>
                <w:rFonts w:cs="Arial"/>
                <w:color w:val="000000"/>
                <w:sz w:val="16"/>
                <w:szCs w:val="16"/>
              </w:rPr>
              <w:t>409</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35846E9D" w14:textId="52765CF0" w:rsidR="00C511B8" w:rsidRPr="008C086D" w:rsidRDefault="00C511B8" w:rsidP="000F236D">
            <w:pPr>
              <w:spacing w:line="256" w:lineRule="auto"/>
              <w:rPr>
                <w:rFonts w:cs="Arial"/>
                <w:color w:val="000000"/>
                <w:sz w:val="16"/>
                <w:szCs w:val="16"/>
              </w:rPr>
            </w:pPr>
            <w:r w:rsidRPr="008C086D">
              <w:rPr>
                <w:rFonts w:cs="Arial"/>
                <w:color w:val="000000"/>
                <w:sz w:val="16"/>
                <w:szCs w:val="16"/>
              </w:rPr>
              <w:t>2</w:t>
            </w:r>
            <w:r w:rsidR="00EB44EB" w:rsidRPr="008C086D">
              <w:rPr>
                <w:rFonts w:cs="Arial"/>
                <w:color w:val="000000"/>
                <w:sz w:val="16"/>
                <w:szCs w:val="16"/>
              </w:rPr>
              <w:t>285</w:t>
            </w:r>
          </w:p>
          <w:p w14:paraId="35AE10E6" w14:textId="5CE92ADA" w:rsidR="00C511B8" w:rsidRPr="008C086D" w:rsidRDefault="00C511B8" w:rsidP="00C511B8">
            <w:pPr>
              <w:spacing w:line="256" w:lineRule="auto"/>
              <w:jc w:val="center"/>
              <w:rPr>
                <w:rFonts w:cs="Arial"/>
                <w:color w:val="000000"/>
                <w:sz w:val="16"/>
                <w:szCs w:val="16"/>
              </w:rPr>
            </w:pPr>
          </w:p>
          <w:p w14:paraId="781DCE00" w14:textId="77777777" w:rsidR="000F236D" w:rsidRPr="008C086D" w:rsidRDefault="000F236D" w:rsidP="00C511B8">
            <w:pPr>
              <w:spacing w:line="256" w:lineRule="auto"/>
              <w:jc w:val="center"/>
              <w:rPr>
                <w:rFonts w:cs="Arial"/>
                <w:color w:val="000000"/>
                <w:sz w:val="16"/>
                <w:szCs w:val="16"/>
              </w:rPr>
            </w:pPr>
          </w:p>
          <w:p w14:paraId="3A63E583" w14:textId="34943B27" w:rsidR="00C511B8" w:rsidRPr="008C086D" w:rsidRDefault="00C511B8" w:rsidP="00C511B8">
            <w:pPr>
              <w:spacing w:line="256" w:lineRule="auto"/>
              <w:jc w:val="center"/>
              <w:rPr>
                <w:rFonts w:cs="Arial"/>
                <w:color w:val="000000"/>
                <w:sz w:val="16"/>
                <w:szCs w:val="16"/>
              </w:rPr>
            </w:pPr>
          </w:p>
        </w:tc>
      </w:tr>
      <w:tr w:rsidR="00C511B8" w14:paraId="0084C4D5"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3CD99C0E" w14:textId="77777777" w:rsidR="00C511B8" w:rsidRPr="00833F63" w:rsidRDefault="00C511B8" w:rsidP="00C511B8">
            <w:pPr>
              <w:spacing w:line="256" w:lineRule="auto"/>
              <w:rPr>
                <w:rFonts w:ascii="Times New Roman" w:hAnsi="Times New Roman"/>
                <w:i/>
                <w:iCs/>
                <w:sz w:val="20"/>
              </w:rPr>
            </w:pPr>
            <w:r w:rsidRPr="00833F63">
              <w:rPr>
                <w:rFonts w:ascii="Times New Roman" w:hAnsi="Times New Roman"/>
                <w:i/>
                <w:iCs/>
                <w:color w:val="000000"/>
                <w:sz w:val="20"/>
              </w:rPr>
              <w:t>Atender 100% de los conceptos técnicos que recomiendan actuaciones administrativas sancionatorias durante la vigencia para mejorar la eficiencia del proceso sancionatorio ambiental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34493C4" w14:textId="5A807817" w:rsidR="00C511B8" w:rsidRPr="008C086D" w:rsidRDefault="00C511B8" w:rsidP="00C511B8">
            <w:pPr>
              <w:spacing w:line="256" w:lineRule="auto"/>
              <w:jc w:val="center"/>
              <w:rPr>
                <w:rFonts w:cs="Arial"/>
                <w:sz w:val="16"/>
                <w:szCs w:val="16"/>
              </w:rPr>
            </w:pPr>
            <w:r w:rsidRPr="008C086D">
              <w:rPr>
                <w:rFonts w:cs="Arial"/>
                <w:color w:val="000000"/>
                <w:sz w:val="16"/>
                <w:szCs w:val="16"/>
              </w:rPr>
              <w:t>199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56F09" w14:textId="4C73102E" w:rsidR="00C511B8" w:rsidRPr="008C086D" w:rsidRDefault="00C511B8" w:rsidP="00C511B8">
            <w:pPr>
              <w:spacing w:line="256" w:lineRule="auto"/>
              <w:jc w:val="center"/>
              <w:rPr>
                <w:rFonts w:cs="Arial"/>
                <w:color w:val="000000"/>
                <w:sz w:val="16"/>
                <w:szCs w:val="16"/>
              </w:rPr>
            </w:pPr>
            <w:r w:rsidRPr="008C086D">
              <w:rPr>
                <w:rFonts w:cs="Arial"/>
                <w:color w:val="000000"/>
                <w:sz w:val="16"/>
                <w:szCs w:val="16"/>
              </w:rPr>
              <w:t>323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1AC41" w14:textId="49921C9A" w:rsidR="00C511B8" w:rsidRPr="008C086D" w:rsidRDefault="00C511B8" w:rsidP="00C511B8">
            <w:pPr>
              <w:spacing w:line="256" w:lineRule="auto"/>
              <w:jc w:val="center"/>
              <w:rPr>
                <w:rFonts w:cs="Arial"/>
                <w:sz w:val="16"/>
                <w:szCs w:val="16"/>
              </w:rPr>
            </w:pPr>
            <w:r w:rsidRPr="008C086D">
              <w:rPr>
                <w:rFonts w:cs="Arial"/>
                <w:color w:val="000000"/>
                <w:sz w:val="16"/>
                <w:szCs w:val="16"/>
              </w:rPr>
              <w:t>2</w:t>
            </w:r>
            <w:r w:rsidR="008D3287" w:rsidRPr="008C086D">
              <w:rPr>
                <w:rFonts w:cs="Arial"/>
                <w:color w:val="000000"/>
                <w:sz w:val="16"/>
                <w:szCs w:val="16"/>
              </w:rPr>
              <w:t>29</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9E719" w14:textId="4F42A2D7" w:rsidR="00C511B8" w:rsidRPr="008C086D" w:rsidRDefault="0006190C" w:rsidP="00C511B8">
            <w:pPr>
              <w:spacing w:line="256" w:lineRule="auto"/>
              <w:jc w:val="center"/>
              <w:rPr>
                <w:rFonts w:cs="Arial"/>
                <w:sz w:val="16"/>
                <w:szCs w:val="16"/>
              </w:rPr>
            </w:pPr>
            <w:r w:rsidRPr="008C086D">
              <w:rPr>
                <w:rFonts w:cs="Arial"/>
                <w:sz w:val="16"/>
                <w:szCs w:val="16"/>
              </w:rPr>
              <w:t>730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36760" w14:textId="4E23FFE5" w:rsidR="00C511B8" w:rsidRPr="008C086D" w:rsidRDefault="00C511B8" w:rsidP="00C511B8">
            <w:pPr>
              <w:spacing w:line="256" w:lineRule="auto"/>
              <w:jc w:val="center"/>
              <w:rPr>
                <w:rFonts w:cs="Arial"/>
                <w:sz w:val="16"/>
                <w:szCs w:val="16"/>
              </w:rPr>
            </w:pPr>
            <w:r w:rsidRPr="008C086D">
              <w:rPr>
                <w:rFonts w:cs="Arial"/>
                <w:color w:val="000000"/>
                <w:sz w:val="16"/>
                <w:szCs w:val="16"/>
              </w:rPr>
              <w:t>260</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42F5EEBD" w14:textId="2B07AD16" w:rsidR="00C511B8" w:rsidRPr="008C086D" w:rsidRDefault="00C511B8" w:rsidP="000F236D">
            <w:pPr>
              <w:spacing w:line="256" w:lineRule="auto"/>
              <w:rPr>
                <w:rFonts w:cs="Arial"/>
                <w:color w:val="000000"/>
                <w:sz w:val="16"/>
                <w:szCs w:val="16"/>
              </w:rPr>
            </w:pPr>
            <w:r w:rsidRPr="008C086D">
              <w:rPr>
                <w:rFonts w:cs="Arial"/>
                <w:color w:val="000000"/>
                <w:sz w:val="16"/>
                <w:szCs w:val="16"/>
              </w:rPr>
              <w:t>1</w:t>
            </w:r>
            <w:r w:rsidR="00EB44EB" w:rsidRPr="008C086D">
              <w:rPr>
                <w:rFonts w:cs="Arial"/>
                <w:color w:val="000000"/>
                <w:sz w:val="16"/>
                <w:szCs w:val="16"/>
              </w:rPr>
              <w:t>741</w:t>
            </w:r>
          </w:p>
          <w:p w14:paraId="1D682982" w14:textId="400D1341" w:rsidR="000F236D" w:rsidRPr="008C086D" w:rsidRDefault="000F236D" w:rsidP="000F236D">
            <w:pPr>
              <w:spacing w:line="256" w:lineRule="auto"/>
              <w:jc w:val="center"/>
              <w:rPr>
                <w:rFonts w:cs="Arial"/>
                <w:color w:val="000000"/>
                <w:sz w:val="16"/>
                <w:szCs w:val="16"/>
              </w:rPr>
            </w:pPr>
          </w:p>
          <w:p w14:paraId="50A872D6" w14:textId="77777777" w:rsidR="000F236D" w:rsidRPr="008C086D" w:rsidRDefault="000F236D" w:rsidP="000F236D">
            <w:pPr>
              <w:spacing w:line="256" w:lineRule="auto"/>
              <w:jc w:val="center"/>
              <w:rPr>
                <w:rFonts w:cs="Arial"/>
                <w:color w:val="000000"/>
                <w:sz w:val="16"/>
                <w:szCs w:val="16"/>
              </w:rPr>
            </w:pPr>
          </w:p>
          <w:p w14:paraId="03E197AF" w14:textId="73EC1531" w:rsidR="00C511B8" w:rsidRPr="008C086D" w:rsidRDefault="00C511B8" w:rsidP="00C511B8">
            <w:pPr>
              <w:spacing w:line="256" w:lineRule="auto"/>
              <w:jc w:val="center"/>
              <w:rPr>
                <w:rFonts w:cs="Arial"/>
                <w:color w:val="000000"/>
                <w:sz w:val="16"/>
                <w:szCs w:val="16"/>
              </w:rPr>
            </w:pPr>
          </w:p>
        </w:tc>
      </w:tr>
      <w:tr w:rsidR="00C511B8" w14:paraId="4C0136FC"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07FD1F6" w14:textId="77777777" w:rsidR="00C511B8" w:rsidRDefault="00C511B8" w:rsidP="00C511B8">
            <w:pPr>
              <w:spacing w:line="256" w:lineRule="auto"/>
              <w:rPr>
                <w:rFonts w:ascii="Times New Roman" w:hAnsi="Times New Roman"/>
                <w:i/>
                <w:iCs/>
                <w:sz w:val="20"/>
              </w:rPr>
            </w:pPr>
            <w:r>
              <w:rPr>
                <w:rFonts w:ascii="Times New Roman" w:hAnsi="Times New Roman"/>
                <w:i/>
                <w:iCs/>
                <w:sz w:val="20"/>
              </w:rPr>
              <w:t>Desarrollar e implementar el 100% de un modelo conceptual de captura de información sobre características del suelo en sitios con afectación (potencial y configurada) al suelo y/o agua subterránea del acuífero somero.</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2A66EC9" w14:textId="5952842B" w:rsidR="00C511B8" w:rsidRPr="008C086D" w:rsidRDefault="00C511B8" w:rsidP="00C511B8">
            <w:pPr>
              <w:spacing w:line="256" w:lineRule="auto"/>
              <w:jc w:val="center"/>
              <w:rPr>
                <w:rFonts w:cs="Arial"/>
                <w:sz w:val="16"/>
                <w:szCs w:val="16"/>
              </w:rPr>
            </w:pPr>
            <w:r w:rsidRPr="008C086D">
              <w:rPr>
                <w:rFonts w:cs="Arial"/>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4DEA3" w14:textId="5C010FAE" w:rsidR="00C511B8" w:rsidRPr="008C086D" w:rsidRDefault="00C511B8" w:rsidP="00C511B8">
            <w:pPr>
              <w:spacing w:line="256" w:lineRule="auto"/>
              <w:jc w:val="center"/>
              <w:rPr>
                <w:rFonts w:cs="Arial"/>
                <w:sz w:val="16"/>
                <w:szCs w:val="16"/>
              </w:rPr>
            </w:pPr>
            <w:r w:rsidRPr="008C086D">
              <w:rPr>
                <w:rFonts w:cs="Arial"/>
                <w:color w:val="000000"/>
                <w:sz w:val="16"/>
                <w:szCs w:val="16"/>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DD4A1" w14:textId="781BAC13" w:rsidR="00C511B8" w:rsidRPr="008C086D" w:rsidRDefault="00C511B8" w:rsidP="00C511B8">
            <w:pPr>
              <w:spacing w:line="256" w:lineRule="auto"/>
              <w:jc w:val="center"/>
              <w:rPr>
                <w:rFonts w:cs="Arial"/>
                <w:sz w:val="16"/>
                <w:szCs w:val="16"/>
              </w:rPr>
            </w:pPr>
            <w:r w:rsidRPr="008C086D">
              <w:rPr>
                <w:rFonts w:cs="Arial"/>
                <w:color w:val="000000"/>
                <w:sz w:val="16"/>
                <w:szCs w:val="16"/>
              </w:rPr>
              <w:t>93</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2EDEC" w14:textId="30065EA1" w:rsidR="00C511B8" w:rsidRPr="008C086D" w:rsidRDefault="00C511B8" w:rsidP="00C511B8">
            <w:pPr>
              <w:spacing w:line="256" w:lineRule="auto"/>
              <w:jc w:val="center"/>
              <w:rPr>
                <w:rFonts w:cs="Arial"/>
                <w:sz w:val="16"/>
                <w:szCs w:val="16"/>
              </w:rPr>
            </w:pPr>
            <w:r w:rsidRPr="008C086D">
              <w:rPr>
                <w:rFonts w:cs="Arial"/>
                <w:sz w:val="16"/>
                <w:szCs w:val="16"/>
              </w:rPr>
              <w:t>567</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E2A82" w14:textId="6BA1AA3F" w:rsidR="00C511B8" w:rsidRPr="008C086D" w:rsidRDefault="00C511B8" w:rsidP="00C511B8">
            <w:pPr>
              <w:spacing w:line="256" w:lineRule="auto"/>
              <w:jc w:val="center"/>
              <w:rPr>
                <w:rFonts w:cs="Arial"/>
                <w:sz w:val="16"/>
                <w:szCs w:val="16"/>
              </w:rPr>
            </w:pPr>
            <w:r w:rsidRPr="008C086D">
              <w:rPr>
                <w:rFonts w:cs="Arial"/>
                <w:color w:val="000000"/>
                <w:sz w:val="16"/>
                <w:szCs w:val="16"/>
              </w:rPr>
              <w:t>-</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4AE0E061" w14:textId="77777777" w:rsidR="00C511B8" w:rsidRPr="008C086D" w:rsidRDefault="00C511B8" w:rsidP="000F236D">
            <w:pPr>
              <w:spacing w:line="256" w:lineRule="auto"/>
              <w:rPr>
                <w:rFonts w:cs="Arial"/>
                <w:color w:val="000000"/>
                <w:sz w:val="16"/>
                <w:szCs w:val="16"/>
              </w:rPr>
            </w:pPr>
            <w:r w:rsidRPr="008C086D">
              <w:rPr>
                <w:rFonts w:cs="Arial"/>
                <w:color w:val="000000"/>
                <w:sz w:val="16"/>
                <w:szCs w:val="16"/>
              </w:rPr>
              <w:t>660</w:t>
            </w:r>
          </w:p>
          <w:p w14:paraId="757F1E1B" w14:textId="694A6DDB" w:rsidR="00C511B8" w:rsidRPr="008C086D" w:rsidRDefault="00C511B8" w:rsidP="00C511B8">
            <w:pPr>
              <w:spacing w:line="256" w:lineRule="auto"/>
              <w:jc w:val="center"/>
              <w:rPr>
                <w:rFonts w:cs="Arial"/>
                <w:color w:val="000000"/>
                <w:sz w:val="16"/>
                <w:szCs w:val="16"/>
              </w:rPr>
            </w:pPr>
          </w:p>
          <w:p w14:paraId="67655CE6" w14:textId="77777777" w:rsidR="000F236D" w:rsidRPr="008C086D" w:rsidRDefault="000F236D" w:rsidP="00C511B8">
            <w:pPr>
              <w:spacing w:line="256" w:lineRule="auto"/>
              <w:jc w:val="center"/>
              <w:rPr>
                <w:rFonts w:cs="Arial"/>
                <w:color w:val="000000"/>
                <w:sz w:val="16"/>
                <w:szCs w:val="16"/>
              </w:rPr>
            </w:pPr>
          </w:p>
          <w:p w14:paraId="2501AAC6" w14:textId="28B2EB45" w:rsidR="00C511B8" w:rsidRPr="008C086D" w:rsidRDefault="00C511B8" w:rsidP="00C511B8">
            <w:pPr>
              <w:spacing w:line="256" w:lineRule="auto"/>
              <w:rPr>
                <w:rFonts w:cs="Arial"/>
                <w:color w:val="000000"/>
                <w:sz w:val="16"/>
                <w:szCs w:val="16"/>
              </w:rPr>
            </w:pPr>
          </w:p>
        </w:tc>
      </w:tr>
    </w:tbl>
    <w:p w14:paraId="65A73F35"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bookmarkEnd w:id="16"/>
    <w:p w14:paraId="5C30B00A" w14:textId="77777777" w:rsidR="00833F63" w:rsidRPr="00833F63" w:rsidRDefault="00833F63" w:rsidP="00833F63">
      <w:pPr>
        <w:jc w:val="left"/>
        <w:rPr>
          <w:rFonts w:ascii="Times New Roman" w:hAnsi="Times New Roman"/>
          <w:b/>
          <w:bCs/>
          <w:szCs w:val="24"/>
          <w:lang w:eastAsia="es-CO"/>
        </w:rPr>
      </w:pPr>
    </w:p>
    <w:p w14:paraId="52DE5D07" w14:textId="77777777" w:rsidR="00833F63" w:rsidRPr="00833F63" w:rsidRDefault="00833F63" w:rsidP="00833F63">
      <w:pPr>
        <w:jc w:val="left"/>
        <w:rPr>
          <w:rFonts w:ascii="Times New Roman" w:hAnsi="Times New Roman"/>
          <w:b/>
          <w:bCs/>
          <w:szCs w:val="24"/>
          <w:lang w:eastAsia="es-CO"/>
        </w:rPr>
      </w:pPr>
      <w:r w:rsidRPr="00833F63">
        <w:rPr>
          <w:rFonts w:ascii="Times New Roman" w:hAnsi="Times New Roman"/>
          <w:b/>
          <w:bCs/>
          <w:szCs w:val="24"/>
          <w:lang w:eastAsia="es-CO"/>
        </w:rPr>
        <w:t>Costos del proyecto por líneas</w:t>
      </w:r>
    </w:p>
    <w:p w14:paraId="37A3B6E0" w14:textId="77777777" w:rsidR="00833F63" w:rsidRPr="00833F63" w:rsidRDefault="00833F63" w:rsidP="00833F6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85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4"/>
        <w:gridCol w:w="986"/>
        <w:gridCol w:w="992"/>
        <w:gridCol w:w="851"/>
        <w:gridCol w:w="850"/>
        <w:gridCol w:w="992"/>
        <w:gridCol w:w="875"/>
      </w:tblGrid>
      <w:tr w:rsidR="00833F63" w:rsidRPr="00833F63" w14:paraId="3CF98CCB" w14:textId="77777777" w:rsidTr="00EA68BA">
        <w:trPr>
          <w:trHeight w:val="368"/>
        </w:trPr>
        <w:tc>
          <w:tcPr>
            <w:tcW w:w="297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AB8758"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Línea de Acción</w:t>
            </w:r>
          </w:p>
        </w:tc>
        <w:tc>
          <w:tcPr>
            <w:tcW w:w="5546"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73F7E3" w14:textId="77777777" w:rsidR="00833F63" w:rsidRPr="00833F63" w:rsidRDefault="00833F63">
            <w:pPr>
              <w:autoSpaceDE w:val="0"/>
              <w:autoSpaceDN w:val="0"/>
              <w:adjustRightInd w:val="0"/>
              <w:spacing w:line="256" w:lineRule="auto"/>
              <w:jc w:val="center"/>
              <w:rPr>
                <w:rFonts w:ascii="Trebuchet MS" w:hAnsi="Trebuchet MS" w:cs="Arial"/>
                <w:sz w:val="20"/>
              </w:rPr>
            </w:pPr>
            <w:r w:rsidRPr="00833F63">
              <w:rPr>
                <w:rFonts w:ascii="Trebuchet MS" w:hAnsi="Trebuchet MS" w:cs="Arial"/>
                <w:sz w:val="20"/>
              </w:rPr>
              <w:t>Presupuesto</w:t>
            </w:r>
          </w:p>
        </w:tc>
      </w:tr>
      <w:tr w:rsidR="00833F63" w:rsidRPr="00833F63" w14:paraId="4082ED9C" w14:textId="77777777" w:rsidTr="00EA68BA">
        <w:trPr>
          <w:trHeight w:val="756"/>
        </w:trPr>
        <w:tc>
          <w:tcPr>
            <w:tcW w:w="297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9B0C9B" w14:textId="77777777" w:rsidR="00833F63" w:rsidRPr="00833F63" w:rsidRDefault="00833F63">
            <w:pPr>
              <w:spacing w:line="256" w:lineRule="auto"/>
              <w:jc w:val="left"/>
              <w:rPr>
                <w:rFonts w:ascii="Trebuchet MS" w:hAnsi="Trebuchet MS"/>
                <w:b/>
                <w:bCs/>
                <w:sz w:val="20"/>
              </w:rPr>
            </w:pPr>
          </w:p>
        </w:tc>
        <w:tc>
          <w:tcPr>
            <w:tcW w:w="98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3F6D5F"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3D842"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29C5AD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564B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2023</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E0570F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2024</w:t>
            </w:r>
          </w:p>
        </w:tc>
        <w:tc>
          <w:tcPr>
            <w:tcW w:w="8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1CB54DA"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TOTAL</w:t>
            </w:r>
          </w:p>
        </w:tc>
      </w:tr>
      <w:tr w:rsidR="00EA68BA" w:rsidRPr="00EB44EB" w14:paraId="456A9B5B" w14:textId="77777777" w:rsidTr="00EA68BA">
        <w:trPr>
          <w:trHeight w:val="375"/>
        </w:trPr>
        <w:tc>
          <w:tcPr>
            <w:tcW w:w="2974" w:type="dxa"/>
            <w:tcBorders>
              <w:top w:val="single" w:sz="4" w:space="0" w:color="auto"/>
              <w:left w:val="single" w:sz="4" w:space="0" w:color="auto"/>
              <w:bottom w:val="single" w:sz="4" w:space="0" w:color="auto"/>
              <w:right w:val="single" w:sz="4" w:space="0" w:color="auto"/>
            </w:tcBorders>
            <w:vAlign w:val="center"/>
            <w:hideMark/>
          </w:tcPr>
          <w:p w14:paraId="79E25F45" w14:textId="77777777" w:rsidR="00EA68BA" w:rsidRPr="00EB44EB" w:rsidRDefault="00EA68BA" w:rsidP="00EA68BA">
            <w:pPr>
              <w:spacing w:line="256" w:lineRule="auto"/>
              <w:rPr>
                <w:rFonts w:ascii="Times New Roman" w:hAnsi="Times New Roman"/>
                <w:color w:val="000000"/>
                <w:sz w:val="18"/>
                <w:szCs w:val="18"/>
                <w:lang w:eastAsia="es-CO"/>
              </w:rPr>
            </w:pPr>
            <w:r w:rsidRPr="00EB44EB">
              <w:rPr>
                <w:rFonts w:ascii="Times New Roman" w:hAnsi="Times New Roman"/>
                <w:color w:val="000000"/>
                <w:sz w:val="18"/>
                <w:szCs w:val="18"/>
                <w:lang w:eastAsia="es-CO"/>
              </w:rPr>
              <w:t>RECURSO SUELO</w:t>
            </w:r>
          </w:p>
        </w:tc>
        <w:tc>
          <w:tcPr>
            <w:tcW w:w="986" w:type="dxa"/>
            <w:tcBorders>
              <w:top w:val="nil"/>
              <w:left w:val="nil"/>
              <w:bottom w:val="single" w:sz="8" w:space="0" w:color="auto"/>
              <w:right w:val="single" w:sz="8" w:space="0" w:color="auto"/>
            </w:tcBorders>
            <w:shd w:val="clear" w:color="auto" w:fill="auto"/>
            <w:vAlign w:val="center"/>
            <w:hideMark/>
          </w:tcPr>
          <w:p w14:paraId="7C6DE5F4" w14:textId="48D98977"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1247</w:t>
            </w:r>
          </w:p>
        </w:tc>
        <w:tc>
          <w:tcPr>
            <w:tcW w:w="992" w:type="dxa"/>
            <w:tcBorders>
              <w:top w:val="nil"/>
              <w:left w:val="nil"/>
              <w:bottom w:val="single" w:sz="8" w:space="0" w:color="auto"/>
              <w:right w:val="single" w:sz="8" w:space="0" w:color="auto"/>
            </w:tcBorders>
            <w:shd w:val="clear" w:color="auto" w:fill="auto"/>
            <w:vAlign w:val="center"/>
            <w:hideMark/>
          </w:tcPr>
          <w:p w14:paraId="1F1BC6A4" w14:textId="08235C93"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2258</w:t>
            </w:r>
          </w:p>
        </w:tc>
        <w:tc>
          <w:tcPr>
            <w:tcW w:w="851" w:type="dxa"/>
            <w:tcBorders>
              <w:top w:val="nil"/>
              <w:left w:val="nil"/>
              <w:bottom w:val="single" w:sz="8" w:space="0" w:color="auto"/>
              <w:right w:val="single" w:sz="8" w:space="0" w:color="auto"/>
            </w:tcBorders>
            <w:shd w:val="clear" w:color="auto" w:fill="auto"/>
            <w:vAlign w:val="center"/>
            <w:hideMark/>
          </w:tcPr>
          <w:p w14:paraId="07A044F1" w14:textId="0ED6C21D"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19</w:t>
            </w:r>
            <w:r w:rsidR="001226A0" w:rsidRPr="00EB44EB">
              <w:rPr>
                <w:rFonts w:cs="Arial"/>
                <w:color w:val="000000"/>
                <w:sz w:val="16"/>
                <w:szCs w:val="16"/>
              </w:rPr>
              <w:t>6</w:t>
            </w:r>
            <w:r w:rsidR="008D3287" w:rsidRPr="00EB44EB">
              <w:rPr>
                <w:rFonts w:cs="Arial"/>
                <w:color w:val="000000"/>
                <w:sz w:val="16"/>
                <w:szCs w:val="16"/>
              </w:rPr>
              <w:t>3</w:t>
            </w:r>
          </w:p>
        </w:tc>
        <w:tc>
          <w:tcPr>
            <w:tcW w:w="850" w:type="dxa"/>
            <w:tcBorders>
              <w:top w:val="nil"/>
              <w:left w:val="nil"/>
              <w:bottom w:val="single" w:sz="8" w:space="0" w:color="auto"/>
              <w:right w:val="single" w:sz="8" w:space="0" w:color="auto"/>
            </w:tcBorders>
            <w:shd w:val="clear" w:color="auto" w:fill="auto"/>
            <w:vAlign w:val="center"/>
            <w:hideMark/>
          </w:tcPr>
          <w:p w14:paraId="2A819058" w14:textId="287ACDBC"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3</w:t>
            </w:r>
            <w:r w:rsidR="00D8408A" w:rsidRPr="00EB44EB">
              <w:rPr>
                <w:rFonts w:cs="Arial"/>
                <w:color w:val="000000"/>
                <w:sz w:val="16"/>
                <w:szCs w:val="16"/>
              </w:rPr>
              <w:t>574</w:t>
            </w:r>
          </w:p>
        </w:tc>
        <w:tc>
          <w:tcPr>
            <w:tcW w:w="992" w:type="dxa"/>
            <w:tcBorders>
              <w:top w:val="nil"/>
              <w:left w:val="nil"/>
              <w:bottom w:val="single" w:sz="8" w:space="0" w:color="auto"/>
              <w:right w:val="single" w:sz="8" w:space="0" w:color="auto"/>
            </w:tcBorders>
            <w:shd w:val="clear" w:color="auto" w:fill="auto"/>
            <w:vAlign w:val="center"/>
            <w:hideMark/>
          </w:tcPr>
          <w:p w14:paraId="478B3BB0" w14:textId="1AD14CEE"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194</w:t>
            </w:r>
            <w:r w:rsidR="001226A0" w:rsidRPr="00EB44EB">
              <w:rPr>
                <w:rFonts w:cs="Arial"/>
                <w:color w:val="000000"/>
                <w:sz w:val="16"/>
                <w:szCs w:val="16"/>
              </w:rPr>
              <w:t>2</w:t>
            </w:r>
          </w:p>
        </w:tc>
        <w:tc>
          <w:tcPr>
            <w:tcW w:w="875" w:type="dxa"/>
            <w:tcBorders>
              <w:top w:val="nil"/>
              <w:left w:val="nil"/>
              <w:bottom w:val="single" w:sz="8" w:space="0" w:color="auto"/>
              <w:right w:val="single" w:sz="8" w:space="0" w:color="auto"/>
            </w:tcBorders>
            <w:shd w:val="clear" w:color="auto" w:fill="auto"/>
            <w:vAlign w:val="center"/>
            <w:hideMark/>
          </w:tcPr>
          <w:p w14:paraId="437D9FDC" w14:textId="6CA4F2D1"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b/>
                <w:bCs/>
                <w:color w:val="000000"/>
                <w:sz w:val="16"/>
                <w:szCs w:val="16"/>
              </w:rPr>
              <w:t>1</w:t>
            </w:r>
            <w:r w:rsidR="00D8408A" w:rsidRPr="00EB44EB">
              <w:rPr>
                <w:rFonts w:cs="Arial"/>
                <w:b/>
                <w:bCs/>
                <w:color w:val="000000"/>
                <w:sz w:val="16"/>
                <w:szCs w:val="16"/>
              </w:rPr>
              <w:t>098</w:t>
            </w:r>
            <w:r w:rsidR="008D3287" w:rsidRPr="00EB44EB">
              <w:rPr>
                <w:rFonts w:cs="Arial"/>
                <w:b/>
                <w:bCs/>
                <w:color w:val="000000"/>
                <w:sz w:val="16"/>
                <w:szCs w:val="16"/>
              </w:rPr>
              <w:t>4</w:t>
            </w:r>
          </w:p>
        </w:tc>
      </w:tr>
    </w:tbl>
    <w:p w14:paraId="25D6C322"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EB44EB">
        <w:rPr>
          <w:rFonts w:ascii="Times New Roman" w:hAnsi="Times New Roman"/>
          <w:szCs w:val="24"/>
          <w:lang w:eastAsia="es-CO"/>
        </w:rPr>
        <w:t>Fuente: SDA 2020</w:t>
      </w:r>
    </w:p>
    <w:p w14:paraId="3B08B75C"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586F0D40"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375C3F5F"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lastRenderedPageBreak/>
        <w:t>* El detalle de las actividades relacionadas con la meta de inversión “Atender el 100% de los conceptos técnicos que recomiendan actuaciones administrativas sancionatorias durante la vigencia para mejorar la eficiencia del proceso sancionatorio ambiental” se presenta a continuación:</w:t>
      </w:r>
    </w:p>
    <w:p w14:paraId="68F7E14C"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Acoger jurídicamente los conceptos técnicos mediante la proyección de los actos administrativos ambientales de carácter sancionatorio </w:t>
      </w:r>
    </w:p>
    <w:p w14:paraId="088B0CE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el proceso de organización y administración de los documentos de archivos y expedientes sancionatorios </w:t>
      </w:r>
    </w:p>
    <w:p w14:paraId="5979FFA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Notificar los actos administrativos en cumplimiento de la normatividad establecida.</w:t>
      </w:r>
    </w:p>
    <w:p w14:paraId="3850D945"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acciones de seguimiento y control ambiental en el marco del trámite sancionatorio. </w:t>
      </w:r>
    </w:p>
    <w:p w14:paraId="10AC09BB" w14:textId="77777777" w:rsidR="00833F63" w:rsidRPr="00833F63" w:rsidRDefault="00833F63" w:rsidP="00833F63">
      <w:pPr>
        <w:pStyle w:val="Prrafodelista"/>
        <w:ind w:left="720"/>
        <w:contextualSpacing/>
        <w:rPr>
          <w:rFonts w:ascii="Times New Roman" w:hAnsi="Times New Roman"/>
          <w:szCs w:val="24"/>
          <w:lang w:eastAsia="es-CO"/>
        </w:rPr>
      </w:pPr>
    </w:p>
    <w:p w14:paraId="32FE005C"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55609074" w14:textId="77777777" w:rsidR="00833F63" w:rsidRPr="00833F63" w:rsidRDefault="00833F63" w:rsidP="00833F63">
      <w:pPr>
        <w:pStyle w:val="Prrafodelista"/>
        <w:ind w:left="720"/>
        <w:contextualSpacing/>
        <w:rPr>
          <w:rFonts w:ascii="Times New Roman" w:hAnsi="Times New Roman"/>
          <w:szCs w:val="24"/>
          <w:lang w:eastAsia="es-CO"/>
        </w:rPr>
      </w:pPr>
    </w:p>
    <w:tbl>
      <w:tblPr>
        <w:tblW w:w="9360" w:type="dxa"/>
        <w:tblInd w:w="-5" w:type="dxa"/>
        <w:tblLayout w:type="fixed"/>
        <w:tblLook w:val="0400" w:firstRow="0" w:lastRow="0" w:firstColumn="0" w:lastColumn="0" w:noHBand="0" w:noVBand="1"/>
      </w:tblPr>
      <w:tblGrid>
        <w:gridCol w:w="1834"/>
        <w:gridCol w:w="1889"/>
        <w:gridCol w:w="1639"/>
        <w:gridCol w:w="2012"/>
        <w:gridCol w:w="1986"/>
      </w:tblGrid>
      <w:tr w:rsidR="00833F63" w:rsidRPr="00833F63" w14:paraId="15FE632B" w14:textId="77777777" w:rsidTr="00833F63">
        <w:trPr>
          <w:trHeight w:val="708"/>
        </w:trPr>
        <w:tc>
          <w:tcPr>
            <w:tcW w:w="183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4929378"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INDICADOR</w:t>
            </w:r>
          </w:p>
        </w:tc>
        <w:tc>
          <w:tcPr>
            <w:tcW w:w="188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63060EC"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UNIDAD DE MEDIDA</w:t>
            </w:r>
          </w:p>
        </w:tc>
        <w:tc>
          <w:tcPr>
            <w:tcW w:w="163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9032129"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META</w:t>
            </w:r>
          </w:p>
        </w:tc>
        <w:tc>
          <w:tcPr>
            <w:tcW w:w="2011"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081C2386"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 xml:space="preserve">TIPO DE FUENTE </w:t>
            </w:r>
          </w:p>
        </w:tc>
        <w:tc>
          <w:tcPr>
            <w:tcW w:w="1985"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A8B8872"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FUENTE DE VERIFICACIÓN</w:t>
            </w:r>
          </w:p>
        </w:tc>
      </w:tr>
      <w:tr w:rsidR="00833F63" w:rsidRPr="00833F63" w14:paraId="0B3C75E6" w14:textId="77777777" w:rsidTr="00833F63">
        <w:trPr>
          <w:trHeight w:val="684"/>
        </w:trPr>
        <w:tc>
          <w:tcPr>
            <w:tcW w:w="1834" w:type="dxa"/>
            <w:tcBorders>
              <w:top w:val="single" w:sz="4" w:space="0" w:color="000000"/>
              <w:left w:val="single" w:sz="4" w:space="0" w:color="000000"/>
              <w:bottom w:val="single" w:sz="4" w:space="0" w:color="000000"/>
              <w:right w:val="single" w:sz="4" w:space="0" w:color="000000"/>
            </w:tcBorders>
            <w:vAlign w:val="center"/>
            <w:hideMark/>
          </w:tcPr>
          <w:p w14:paraId="5B2F35B9"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 de conceptos técnicos que recomienda actuaciones administrativas sancionatorias, durante la vigencia, atendidos</w:t>
            </w:r>
          </w:p>
        </w:tc>
        <w:tc>
          <w:tcPr>
            <w:tcW w:w="1888" w:type="dxa"/>
            <w:tcBorders>
              <w:top w:val="single" w:sz="4" w:space="0" w:color="000000"/>
              <w:left w:val="nil"/>
              <w:bottom w:val="single" w:sz="4" w:space="0" w:color="000000"/>
              <w:right w:val="single" w:sz="4" w:space="0" w:color="000000"/>
            </w:tcBorders>
            <w:vAlign w:val="center"/>
            <w:hideMark/>
          </w:tcPr>
          <w:p w14:paraId="3D2CD086"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638" w:type="dxa"/>
            <w:tcBorders>
              <w:top w:val="single" w:sz="4" w:space="0" w:color="000000"/>
              <w:left w:val="nil"/>
              <w:bottom w:val="single" w:sz="4" w:space="0" w:color="000000"/>
              <w:right w:val="single" w:sz="4" w:space="0" w:color="000000"/>
            </w:tcBorders>
            <w:vAlign w:val="center"/>
            <w:hideMark/>
          </w:tcPr>
          <w:p w14:paraId="7B48881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2011" w:type="dxa"/>
            <w:tcBorders>
              <w:top w:val="single" w:sz="4" w:space="0" w:color="000000"/>
              <w:left w:val="nil"/>
              <w:bottom w:val="single" w:sz="4" w:space="0" w:color="000000"/>
              <w:right w:val="single" w:sz="4" w:space="0" w:color="000000"/>
            </w:tcBorders>
            <w:vAlign w:val="center"/>
            <w:hideMark/>
          </w:tcPr>
          <w:p w14:paraId="289A757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Sistema de Información Forest</w:t>
            </w:r>
          </w:p>
        </w:tc>
        <w:tc>
          <w:tcPr>
            <w:tcW w:w="1985" w:type="dxa"/>
            <w:tcBorders>
              <w:top w:val="single" w:sz="4" w:space="0" w:color="000000"/>
              <w:left w:val="nil"/>
              <w:bottom w:val="single" w:sz="4" w:space="0" w:color="000000"/>
              <w:right w:val="single" w:sz="4" w:space="0" w:color="000000"/>
            </w:tcBorders>
            <w:vAlign w:val="center"/>
            <w:hideMark/>
          </w:tcPr>
          <w:p w14:paraId="4898067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Base de seguimiento proceso sancionatorio</w:t>
            </w:r>
          </w:p>
        </w:tc>
      </w:tr>
    </w:tbl>
    <w:p w14:paraId="3982D690" w14:textId="77777777" w:rsidR="00833F63" w:rsidRPr="00ED3380" w:rsidRDefault="00833F63" w:rsidP="00ED3380">
      <w:pPr>
        <w:contextualSpacing/>
        <w:rPr>
          <w:rFonts w:ascii="Times New Roman" w:hAnsi="Times New Roman"/>
          <w:szCs w:val="24"/>
          <w:lang w:eastAsia="es-CO"/>
        </w:rPr>
      </w:pPr>
    </w:p>
    <w:p w14:paraId="6B6E35BD"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b/>
          <w:bCs/>
          <w:szCs w:val="24"/>
          <w:lang w:eastAsia="es-CO"/>
        </w:rPr>
        <w:t>Fórmula de cálculo:</w:t>
      </w:r>
      <w:r w:rsidRPr="00833F63">
        <w:rPr>
          <w:rFonts w:ascii="Times New Roman" w:hAnsi="Times New Roman"/>
          <w:szCs w:val="24"/>
          <w:lang w:eastAsia="es-CO"/>
        </w:rPr>
        <w:t xml:space="preserve"> Número de Conceptos Técnicos que recomiendan actuaciones administrativas sancionatorias emitidos durante la vigencia / Número de Conceptos Técnicos atendidos jurídicamente durante la vigencia *100</w:t>
      </w:r>
    </w:p>
    <w:p w14:paraId="7E109548" w14:textId="77777777" w:rsidR="00833F63" w:rsidRPr="00833F63" w:rsidRDefault="00833F63" w:rsidP="00833F63">
      <w:pPr>
        <w:pStyle w:val="Prrafodelista"/>
        <w:ind w:left="720"/>
        <w:contextualSpacing/>
        <w:rPr>
          <w:rFonts w:ascii="Times New Roman" w:hAnsi="Times New Roman"/>
          <w:szCs w:val="24"/>
          <w:lang w:eastAsia="es-CO"/>
        </w:rPr>
      </w:pPr>
    </w:p>
    <w:tbl>
      <w:tblPr>
        <w:tblW w:w="879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564"/>
        <w:gridCol w:w="980"/>
        <w:gridCol w:w="991"/>
        <w:gridCol w:w="1275"/>
        <w:gridCol w:w="709"/>
        <w:gridCol w:w="567"/>
        <w:gridCol w:w="567"/>
        <w:gridCol w:w="567"/>
        <w:gridCol w:w="708"/>
        <w:gridCol w:w="862"/>
      </w:tblGrid>
      <w:tr w:rsidR="00833F63" w:rsidRPr="00833F63" w14:paraId="73271A49" w14:textId="77777777" w:rsidTr="00833F63">
        <w:trPr>
          <w:trHeight w:val="360"/>
          <w:jc w:val="center"/>
        </w:trPr>
        <w:tc>
          <w:tcPr>
            <w:tcW w:w="1566" w:type="dxa"/>
            <w:vMerge w:val="restart"/>
            <w:tcBorders>
              <w:top w:val="single" w:sz="4" w:space="0" w:color="000000"/>
              <w:left w:val="single" w:sz="4" w:space="0" w:color="000000"/>
              <w:bottom w:val="single" w:sz="6" w:space="0" w:color="000000"/>
              <w:right w:val="single" w:sz="6" w:space="0" w:color="000000"/>
            </w:tcBorders>
            <w:shd w:val="clear" w:color="auto" w:fill="538135" w:themeFill="accent6" w:themeFillShade="BF"/>
            <w:vAlign w:val="center"/>
            <w:hideMark/>
          </w:tcPr>
          <w:p w14:paraId="5D3BF4A6"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META DE INVERSION</w:t>
            </w:r>
          </w:p>
        </w:tc>
        <w:tc>
          <w:tcPr>
            <w:tcW w:w="981"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60256A21"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MAGNITUD</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16656E6D"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UNIDAD DE MEDIDA</w:t>
            </w:r>
          </w:p>
        </w:tc>
        <w:tc>
          <w:tcPr>
            <w:tcW w:w="1276" w:type="dxa"/>
            <w:vMerge w:val="restart"/>
            <w:tcBorders>
              <w:top w:val="single" w:sz="4" w:space="0" w:color="000000"/>
              <w:left w:val="single" w:sz="6" w:space="0" w:color="000000"/>
              <w:bottom w:val="single" w:sz="6" w:space="0" w:color="000000"/>
              <w:right w:val="single" w:sz="4" w:space="0" w:color="000000"/>
            </w:tcBorders>
            <w:shd w:val="clear" w:color="auto" w:fill="538135" w:themeFill="accent6" w:themeFillShade="BF"/>
            <w:vAlign w:val="center"/>
          </w:tcPr>
          <w:p w14:paraId="4C49F76E"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DESCRIPCIÓN</w:t>
            </w:r>
          </w:p>
          <w:p w14:paraId="4CA61AC4" w14:textId="77777777" w:rsidR="00833F63" w:rsidRPr="00833F63" w:rsidRDefault="00833F63">
            <w:pPr>
              <w:spacing w:line="256" w:lineRule="auto"/>
              <w:jc w:val="center"/>
              <w:rPr>
                <w:rFonts w:ascii="Times New Roman" w:hAnsi="Times New Roman"/>
                <w:b/>
                <w:color w:val="FFFFFF"/>
                <w:sz w:val="12"/>
                <w:szCs w:val="12"/>
              </w:rPr>
            </w:pPr>
          </w:p>
        </w:tc>
        <w:tc>
          <w:tcPr>
            <w:tcW w:w="3981" w:type="dxa"/>
            <w:gridSpan w:val="6"/>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B5DA8F2"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AÑOS</w:t>
            </w:r>
          </w:p>
        </w:tc>
      </w:tr>
      <w:tr w:rsidR="00833F63" w:rsidRPr="00833F63" w14:paraId="63367E40" w14:textId="77777777" w:rsidTr="00833F63">
        <w:trPr>
          <w:trHeight w:val="105"/>
          <w:jc w:val="center"/>
        </w:trPr>
        <w:tc>
          <w:tcPr>
            <w:tcW w:w="1566" w:type="dxa"/>
            <w:vMerge/>
            <w:tcBorders>
              <w:top w:val="single" w:sz="4" w:space="0" w:color="000000"/>
              <w:left w:val="single" w:sz="4" w:space="0" w:color="000000"/>
              <w:bottom w:val="single" w:sz="6" w:space="0" w:color="000000"/>
              <w:right w:val="single" w:sz="6" w:space="0" w:color="000000"/>
            </w:tcBorders>
            <w:vAlign w:val="center"/>
            <w:hideMark/>
          </w:tcPr>
          <w:p w14:paraId="3E286293" w14:textId="77777777" w:rsidR="00833F63" w:rsidRPr="00833F63" w:rsidRDefault="00833F63">
            <w:pPr>
              <w:spacing w:line="256" w:lineRule="auto"/>
              <w:jc w:val="left"/>
              <w:rPr>
                <w:rFonts w:ascii="Times New Roman" w:hAnsi="Times New Roman"/>
                <w:b/>
                <w:color w:val="FFFFFF"/>
                <w:sz w:val="12"/>
                <w:szCs w:val="12"/>
              </w:rPr>
            </w:pPr>
          </w:p>
        </w:tc>
        <w:tc>
          <w:tcPr>
            <w:tcW w:w="981" w:type="dxa"/>
            <w:vMerge/>
            <w:tcBorders>
              <w:top w:val="single" w:sz="4" w:space="0" w:color="000000"/>
              <w:left w:val="single" w:sz="6" w:space="0" w:color="000000"/>
              <w:bottom w:val="single" w:sz="6" w:space="0" w:color="000000"/>
              <w:right w:val="single" w:sz="6" w:space="0" w:color="000000"/>
            </w:tcBorders>
            <w:vAlign w:val="center"/>
            <w:hideMark/>
          </w:tcPr>
          <w:p w14:paraId="2E5A6537" w14:textId="77777777" w:rsidR="00833F63" w:rsidRPr="00833F63" w:rsidRDefault="00833F63">
            <w:pPr>
              <w:spacing w:line="256" w:lineRule="auto"/>
              <w:jc w:val="left"/>
              <w:rPr>
                <w:rFonts w:ascii="Times New Roman" w:hAnsi="Times New Roman"/>
                <w:b/>
                <w:color w:val="FFFFFF"/>
                <w:sz w:val="12"/>
                <w:szCs w:val="12"/>
              </w:rPr>
            </w:pPr>
          </w:p>
        </w:tc>
        <w:tc>
          <w:tcPr>
            <w:tcW w:w="992" w:type="dxa"/>
            <w:vMerge/>
            <w:tcBorders>
              <w:top w:val="single" w:sz="4" w:space="0" w:color="000000"/>
              <w:left w:val="single" w:sz="6" w:space="0" w:color="000000"/>
              <w:bottom w:val="single" w:sz="6" w:space="0" w:color="000000"/>
              <w:right w:val="single" w:sz="6" w:space="0" w:color="000000"/>
            </w:tcBorders>
            <w:vAlign w:val="center"/>
            <w:hideMark/>
          </w:tcPr>
          <w:p w14:paraId="5CE9B137" w14:textId="77777777" w:rsidR="00833F63" w:rsidRPr="00833F63" w:rsidRDefault="00833F63">
            <w:pPr>
              <w:spacing w:line="256" w:lineRule="auto"/>
              <w:jc w:val="left"/>
              <w:rPr>
                <w:rFonts w:ascii="Times New Roman" w:hAnsi="Times New Roman"/>
                <w:b/>
                <w:color w:val="FFFFFF"/>
                <w:sz w:val="12"/>
                <w:szCs w:val="12"/>
              </w:rPr>
            </w:pPr>
          </w:p>
        </w:tc>
        <w:tc>
          <w:tcPr>
            <w:tcW w:w="1276" w:type="dxa"/>
            <w:vMerge/>
            <w:tcBorders>
              <w:top w:val="single" w:sz="4" w:space="0" w:color="000000"/>
              <w:left w:val="single" w:sz="6" w:space="0" w:color="000000"/>
              <w:bottom w:val="single" w:sz="6" w:space="0" w:color="000000"/>
              <w:right w:val="single" w:sz="4" w:space="0" w:color="000000"/>
            </w:tcBorders>
            <w:vAlign w:val="center"/>
            <w:hideMark/>
          </w:tcPr>
          <w:p w14:paraId="0C407AB4" w14:textId="77777777" w:rsidR="00833F63" w:rsidRPr="00833F63" w:rsidRDefault="00833F63">
            <w:pPr>
              <w:spacing w:line="256" w:lineRule="auto"/>
              <w:jc w:val="left"/>
              <w:rPr>
                <w:rFonts w:ascii="Times New Roman" w:hAnsi="Times New Roman"/>
                <w:b/>
                <w:color w:val="FFFFFF"/>
                <w:sz w:val="12"/>
                <w:szCs w:val="12"/>
              </w:rPr>
            </w:pPr>
          </w:p>
        </w:tc>
        <w:tc>
          <w:tcPr>
            <w:tcW w:w="709"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20AFF833"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2020</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9D187D5"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2021</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654BEEA"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2022</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2CC3E4"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2023</w:t>
            </w:r>
          </w:p>
        </w:tc>
        <w:tc>
          <w:tcPr>
            <w:tcW w:w="708"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6C63D419"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2024</w:t>
            </w:r>
          </w:p>
        </w:tc>
        <w:tc>
          <w:tcPr>
            <w:tcW w:w="863"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CCADDB"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Total</w:t>
            </w:r>
          </w:p>
        </w:tc>
      </w:tr>
      <w:tr w:rsidR="00833F63" w:rsidRPr="00833F63" w14:paraId="7C518A86" w14:textId="77777777" w:rsidTr="00833F63">
        <w:trPr>
          <w:jc w:val="center"/>
        </w:trPr>
        <w:tc>
          <w:tcPr>
            <w:tcW w:w="1566" w:type="dxa"/>
            <w:tcBorders>
              <w:top w:val="single" w:sz="6" w:space="0" w:color="000000"/>
              <w:left w:val="single" w:sz="4" w:space="0" w:color="000000"/>
              <w:bottom w:val="single" w:sz="18" w:space="0" w:color="000000"/>
              <w:right w:val="single" w:sz="6" w:space="0" w:color="000000"/>
            </w:tcBorders>
            <w:vAlign w:val="center"/>
            <w:hideMark/>
          </w:tcPr>
          <w:p w14:paraId="3C965955"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 xml:space="preserve">Atender </w:t>
            </w:r>
          </w:p>
        </w:tc>
        <w:tc>
          <w:tcPr>
            <w:tcW w:w="981" w:type="dxa"/>
            <w:tcBorders>
              <w:top w:val="single" w:sz="6" w:space="0" w:color="000000"/>
              <w:left w:val="single" w:sz="6" w:space="0" w:color="000000"/>
              <w:bottom w:val="single" w:sz="18" w:space="0" w:color="000000"/>
              <w:right w:val="single" w:sz="6" w:space="0" w:color="000000"/>
            </w:tcBorders>
            <w:vAlign w:val="center"/>
            <w:hideMark/>
          </w:tcPr>
          <w:p w14:paraId="6EEDE3EC"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992" w:type="dxa"/>
            <w:tcBorders>
              <w:top w:val="single" w:sz="6" w:space="0" w:color="000000"/>
              <w:left w:val="single" w:sz="6" w:space="0" w:color="000000"/>
              <w:bottom w:val="single" w:sz="18" w:space="0" w:color="000000"/>
              <w:right w:val="single" w:sz="6" w:space="0" w:color="000000"/>
            </w:tcBorders>
            <w:vAlign w:val="center"/>
            <w:hideMark/>
          </w:tcPr>
          <w:p w14:paraId="374DD0F7"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276" w:type="dxa"/>
            <w:tcBorders>
              <w:top w:val="single" w:sz="6" w:space="0" w:color="000000"/>
              <w:left w:val="single" w:sz="6" w:space="0" w:color="000000"/>
              <w:bottom w:val="single" w:sz="18" w:space="0" w:color="000000"/>
              <w:right w:val="single" w:sz="4" w:space="0" w:color="000000"/>
            </w:tcBorders>
            <w:vAlign w:val="center"/>
          </w:tcPr>
          <w:p w14:paraId="3F5673DD" w14:textId="77777777" w:rsidR="00833F63" w:rsidRPr="00833F63" w:rsidRDefault="00833F63">
            <w:pPr>
              <w:spacing w:line="256" w:lineRule="auto"/>
              <w:jc w:val="center"/>
              <w:rPr>
                <w:rFonts w:ascii="Times New Roman" w:hAnsi="Times New Roman"/>
                <w:sz w:val="16"/>
                <w:szCs w:val="16"/>
              </w:rPr>
            </w:pPr>
          </w:p>
          <w:p w14:paraId="72A7C0D8"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Conceptos técnicos que recomiendan actuaciones administrativas sancionatorias, durante la vigencia</w:t>
            </w:r>
          </w:p>
          <w:p w14:paraId="289E1D53" w14:textId="77777777" w:rsidR="00833F63" w:rsidRPr="00833F63" w:rsidRDefault="00833F63">
            <w:pPr>
              <w:spacing w:line="256" w:lineRule="auto"/>
              <w:jc w:val="center"/>
              <w:rPr>
                <w:rFonts w:ascii="Times New Roman" w:hAnsi="Times New Roman"/>
                <w:sz w:val="16"/>
                <w:szCs w:val="16"/>
              </w:rPr>
            </w:pPr>
          </w:p>
          <w:p w14:paraId="54D7C08F" w14:textId="77777777" w:rsidR="00833F63" w:rsidRPr="00833F63" w:rsidRDefault="00833F63">
            <w:pPr>
              <w:spacing w:line="256" w:lineRule="auto"/>
              <w:jc w:val="center"/>
              <w:rPr>
                <w:rFonts w:ascii="Times New Roman" w:hAnsi="Times New Roman"/>
                <w:sz w:val="16"/>
                <w:szCs w:val="16"/>
              </w:rPr>
            </w:pPr>
          </w:p>
        </w:tc>
        <w:tc>
          <w:tcPr>
            <w:tcW w:w="709" w:type="dxa"/>
            <w:tcBorders>
              <w:top w:val="single" w:sz="6" w:space="0" w:color="000000"/>
              <w:left w:val="single" w:sz="4" w:space="0" w:color="000000"/>
              <w:bottom w:val="single" w:sz="18" w:space="0" w:color="000000"/>
              <w:right w:val="single" w:sz="4" w:space="0" w:color="000000"/>
            </w:tcBorders>
            <w:vAlign w:val="center"/>
            <w:hideMark/>
          </w:tcPr>
          <w:p w14:paraId="74030BC2" w14:textId="77777777" w:rsidR="00833F63" w:rsidRPr="00833F63" w:rsidRDefault="00833F63">
            <w:pPr>
              <w:spacing w:line="256" w:lineRule="auto"/>
              <w:rPr>
                <w:rFonts w:ascii="Times New Roman" w:hAnsi="Times New Roman"/>
                <w:sz w:val="16"/>
                <w:szCs w:val="16"/>
              </w:rPr>
            </w:pPr>
            <w:r w:rsidRPr="00833F63">
              <w:rPr>
                <w:rFonts w:ascii="Times New Roman" w:hAnsi="Times New Roman"/>
                <w:sz w:val="16"/>
                <w:szCs w:val="16"/>
              </w:rPr>
              <w:t>12.5%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3E6FB3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F3FB8C1"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0A9FAD2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708" w:type="dxa"/>
            <w:tcBorders>
              <w:top w:val="single" w:sz="6" w:space="0" w:color="000000"/>
              <w:left w:val="single" w:sz="4" w:space="0" w:color="000000"/>
              <w:bottom w:val="single" w:sz="18" w:space="0" w:color="000000"/>
              <w:right w:val="single" w:sz="4" w:space="0" w:color="000000"/>
            </w:tcBorders>
            <w:vAlign w:val="center"/>
            <w:hideMark/>
          </w:tcPr>
          <w:p w14:paraId="2AC2F11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12.5%</w:t>
            </w:r>
          </w:p>
        </w:tc>
        <w:tc>
          <w:tcPr>
            <w:tcW w:w="863" w:type="dxa"/>
            <w:tcBorders>
              <w:top w:val="single" w:sz="6" w:space="0" w:color="000000"/>
              <w:left w:val="single" w:sz="4" w:space="0" w:color="000000"/>
              <w:bottom w:val="single" w:sz="18" w:space="0" w:color="000000"/>
              <w:right w:val="single" w:sz="4" w:space="0" w:color="000000"/>
            </w:tcBorders>
            <w:vAlign w:val="center"/>
            <w:hideMark/>
          </w:tcPr>
          <w:p w14:paraId="13A6AD42"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r>
    </w:tbl>
    <w:p w14:paraId="5F3C36CE" w14:textId="77777777" w:rsidR="00833F63" w:rsidRPr="00833F63" w:rsidRDefault="00833F63" w:rsidP="00833F63">
      <w:pPr>
        <w:pStyle w:val="Prrafodelista"/>
        <w:ind w:left="720"/>
        <w:contextualSpacing/>
        <w:rPr>
          <w:rFonts w:ascii="Times New Roman" w:hAnsi="Times New Roman"/>
          <w:szCs w:val="24"/>
          <w:lang w:eastAsia="es-CO"/>
        </w:rPr>
      </w:pPr>
    </w:p>
    <w:p w14:paraId="240F6E0E" w14:textId="77777777" w:rsidR="00833F63" w:rsidRPr="00833F63" w:rsidRDefault="00833F63" w:rsidP="00833F63">
      <w:pPr>
        <w:rPr>
          <w:rFonts w:ascii="Times New Roman" w:hAnsi="Times New Roman"/>
          <w:bCs/>
          <w:szCs w:val="24"/>
          <w:lang w:eastAsia="es-CO"/>
        </w:rPr>
      </w:pPr>
      <w:r w:rsidRPr="00833F63">
        <w:rPr>
          <w:rFonts w:ascii="Times New Roman" w:hAnsi="Times New Roman"/>
          <w:bCs/>
          <w:szCs w:val="24"/>
          <w:lang w:eastAsia="es-CO"/>
        </w:rPr>
        <w:t>Para efectos de realizar la cuantificación del porcentaje de avance en el cuatrienio, se establece la medición de la siguiente manera:</w:t>
      </w:r>
    </w:p>
    <w:p w14:paraId="7EFDD42B" w14:textId="77777777" w:rsidR="00833F63" w:rsidRPr="00833F63" w:rsidRDefault="00833F63" w:rsidP="00833F63">
      <w:pPr>
        <w:pStyle w:val="Prrafodelista"/>
        <w:ind w:left="720"/>
        <w:contextualSpacing/>
        <w:rPr>
          <w:rFonts w:ascii="Times New Roman" w:hAnsi="Times New Roman"/>
          <w:bCs/>
          <w:szCs w:val="24"/>
          <w:lang w:eastAsia="es-CO"/>
        </w:rPr>
      </w:pPr>
    </w:p>
    <w:p w14:paraId="6AC16197"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segundo semestre del año 2020.</w:t>
      </w:r>
    </w:p>
    <w:p w14:paraId="17C9D452"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2021.</w:t>
      </w:r>
    </w:p>
    <w:p w14:paraId="34E307EF"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2022.</w:t>
      </w:r>
    </w:p>
    <w:p w14:paraId="04B433DE"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2023.</w:t>
      </w:r>
    </w:p>
    <w:p w14:paraId="10368F89"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primer semestre año 2024.</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F567FE1" w14:textId="77777777" w:rsidR="001E425E" w:rsidRPr="00292C1E" w:rsidRDefault="001E425E" w:rsidP="009D4A71">
      <w:pPr>
        <w:contextualSpacing/>
        <w:rPr>
          <w:rFonts w:ascii="Times New Roman" w:hAnsi="Times New Roman"/>
          <w:szCs w:val="24"/>
          <w:lang w:eastAsia="es-CO"/>
        </w:rPr>
      </w:pPr>
    </w:p>
    <w:p w14:paraId="56131A76" w14:textId="7F907566" w:rsidR="00056EB0"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63F4CBAE" w14:textId="20FA7B34" w:rsidR="00835B21" w:rsidRDefault="00835B21" w:rsidP="00835B21">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FEA8074" w14:textId="77777777" w:rsidR="00833F63" w:rsidRDefault="00833F63" w:rsidP="00833F63">
      <w:pPr>
        <w:rPr>
          <w:rFonts w:ascii="Times New Roman" w:hAnsi="Times New Roman"/>
          <w:szCs w:val="24"/>
        </w:rPr>
      </w:pPr>
      <w:r>
        <w:rPr>
          <w:rFonts w:ascii="Times New Roman" w:hAnsi="Times New Roman"/>
          <w:szCs w:val="24"/>
        </w:rPr>
        <w:t>La identificación de los riesgos de la alternativa obedece a las amenazas propias de los oponentes del proyecto y los eventos exógenos al mismo que afectaría el desarrollo estructural de proyecto. Las actividades sobre las cuales se identificaron los riesgos son:</w:t>
      </w:r>
    </w:p>
    <w:p w14:paraId="624ED933" w14:textId="77777777" w:rsidR="00833F63" w:rsidRDefault="00833F63" w:rsidP="00833F63">
      <w:pPr>
        <w:rPr>
          <w:rFonts w:ascii="Times New Roman" w:hAnsi="Times New Roman"/>
          <w:szCs w:val="24"/>
        </w:rPr>
      </w:pPr>
      <w:r>
        <w:rPr>
          <w:rFonts w:ascii="Times New Roman" w:hAnsi="Times New Roman"/>
          <w:szCs w:val="24"/>
        </w:rPr>
        <w:t xml:space="preserve"> </w:t>
      </w:r>
    </w:p>
    <w:p w14:paraId="05EF6B7F"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Ejecución de visitas técnicas de inspección de verificación física en el marco de las actuaciones de evaluación control y seguimiento ambiental.</w:t>
      </w:r>
    </w:p>
    <w:p w14:paraId="4CFBA52D"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Investigaciones de sitio, realizadas por los usuarios del suelo, necesarias para el diagnóstico de condiciones físicas, químicas y geológicas del suelo y el agua subterránea del acuífero somero.</w:t>
      </w:r>
    </w:p>
    <w:p w14:paraId="6CFC9878"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actividades con alto potencial de impacto al suelo y el agua subterránea del acuífero somero desconocidas por la entidad o sus aliados distritales y estatales.</w:t>
      </w:r>
    </w:p>
    <w:p w14:paraId="31722DBA" w14:textId="77777777" w:rsidR="00833F63" w:rsidRDefault="00833F63" w:rsidP="00833F63">
      <w:pPr>
        <w:jc w:val="left"/>
        <w:rPr>
          <w:rFonts w:ascii="Times New Roman" w:hAnsi="Times New Roman"/>
          <w:b/>
          <w:szCs w:val="24"/>
          <w:highlight w:val="yellow"/>
          <w:lang w:eastAsia="es-CO"/>
        </w:rPr>
      </w:pPr>
    </w:p>
    <w:p w14:paraId="04511569" w14:textId="77777777" w:rsidR="00833F63" w:rsidRDefault="00833F63" w:rsidP="00833F63">
      <w:pPr>
        <w:jc w:val="left"/>
        <w:rPr>
          <w:rFonts w:ascii="Times New Roman" w:hAnsi="Times New Roman"/>
          <w:bCs/>
          <w:szCs w:val="24"/>
          <w:lang w:eastAsia="es-CO"/>
        </w:rPr>
      </w:pPr>
      <w:r>
        <w:rPr>
          <w:rFonts w:ascii="Times New Roman" w:hAnsi="Times New Roman"/>
          <w:bCs/>
          <w:szCs w:val="24"/>
          <w:lang w:eastAsia="es-CO"/>
        </w:rPr>
        <w:t>Con base a las actividades citadas se identificaron los siguientes riesgos en la ejecución de la alternativa planteada como proyecto</w:t>
      </w:r>
    </w:p>
    <w:p w14:paraId="35AF12A5" w14:textId="77777777" w:rsidR="00833F63" w:rsidRDefault="00833F63" w:rsidP="00833F63">
      <w:pPr>
        <w:jc w:val="left"/>
        <w:rPr>
          <w:rFonts w:ascii="Times New Roman" w:hAnsi="Times New Roman"/>
          <w:bCs/>
          <w:szCs w:val="24"/>
          <w:lang w:eastAsia="es-CO"/>
        </w:rPr>
      </w:pPr>
    </w:p>
    <w:p w14:paraId="5CCD7FA6" w14:textId="77777777" w:rsidR="005B563E" w:rsidRDefault="005B563E" w:rsidP="00833F63">
      <w:pPr>
        <w:jc w:val="left"/>
        <w:rPr>
          <w:rFonts w:ascii="Times New Roman" w:hAnsi="Times New Roman"/>
          <w:bCs/>
          <w:szCs w:val="24"/>
          <w:lang w:eastAsia="es-CO"/>
        </w:rPr>
      </w:pPr>
    </w:p>
    <w:p w14:paraId="52A6EBC1" w14:textId="77777777" w:rsidR="005B563E" w:rsidRDefault="005B563E" w:rsidP="00833F63">
      <w:pPr>
        <w:jc w:val="left"/>
        <w:rPr>
          <w:rFonts w:ascii="Times New Roman" w:hAnsi="Times New Roman"/>
          <w:bCs/>
          <w:szCs w:val="24"/>
          <w:lang w:eastAsia="es-CO"/>
        </w:rPr>
      </w:pPr>
    </w:p>
    <w:p w14:paraId="68AF2CE4" w14:textId="77777777" w:rsidR="005B563E" w:rsidRDefault="005B563E" w:rsidP="00833F63">
      <w:pPr>
        <w:jc w:val="left"/>
        <w:rPr>
          <w:rFonts w:ascii="Times New Roman" w:hAnsi="Times New Roman"/>
          <w:bCs/>
          <w:szCs w:val="24"/>
          <w:lang w:eastAsia="es-CO"/>
        </w:rPr>
      </w:pPr>
    </w:p>
    <w:p w14:paraId="235A289B" w14:textId="77777777" w:rsidR="005B563E" w:rsidRDefault="005B563E" w:rsidP="00833F63">
      <w:pPr>
        <w:jc w:val="left"/>
        <w:rPr>
          <w:rFonts w:ascii="Times New Roman" w:hAnsi="Times New Roman"/>
          <w:bCs/>
          <w:szCs w:val="24"/>
          <w:lang w:eastAsia="es-CO"/>
        </w:rPr>
      </w:pPr>
    </w:p>
    <w:p w14:paraId="186B11F2" w14:textId="1FF3661A" w:rsidR="00833F63" w:rsidRDefault="00833F63" w:rsidP="00833F63">
      <w:pPr>
        <w:jc w:val="center"/>
        <w:rPr>
          <w:rFonts w:ascii="Times New Roman" w:hAnsi="Times New Roman"/>
          <w:bCs/>
          <w:sz w:val="22"/>
          <w:szCs w:val="22"/>
          <w:lang w:eastAsia="es-CO"/>
        </w:rPr>
      </w:pPr>
      <w:r>
        <w:rPr>
          <w:rFonts w:ascii="Times New Roman" w:hAnsi="Times New Roman"/>
          <w:bCs/>
          <w:sz w:val="22"/>
          <w:szCs w:val="22"/>
          <w:lang w:eastAsia="es-CO"/>
        </w:rPr>
        <w:t>Tabla 19. Identificación de riesgos asociados al proyecto</w:t>
      </w:r>
    </w:p>
    <w:p w14:paraId="27EC4520" w14:textId="77777777" w:rsidR="00835B21" w:rsidRDefault="00835B21" w:rsidP="00835B21">
      <w:pPr>
        <w:pBdr>
          <w:top w:val="nil"/>
          <w:left w:val="nil"/>
          <w:bottom w:val="nil"/>
          <w:right w:val="nil"/>
          <w:between w:val="nil"/>
        </w:pBdr>
        <w:jc w:val="left"/>
        <w:rPr>
          <w:rFonts w:ascii="Times New Roman" w:hAnsi="Times New Roman"/>
          <w:b/>
          <w:sz w:val="22"/>
          <w:szCs w:val="22"/>
        </w:rPr>
      </w:pPr>
    </w:p>
    <w:tbl>
      <w:tblPr>
        <w:tblW w:w="1082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7"/>
        <w:gridCol w:w="1134"/>
        <w:gridCol w:w="1984"/>
        <w:gridCol w:w="1418"/>
        <w:gridCol w:w="1134"/>
        <w:gridCol w:w="1843"/>
        <w:gridCol w:w="1984"/>
        <w:gridCol w:w="53"/>
      </w:tblGrid>
      <w:tr w:rsidR="00835B21" w:rsidRPr="00BC2386" w14:paraId="4D3755EB" w14:textId="77777777" w:rsidTr="00AC41A9">
        <w:trPr>
          <w:trHeight w:val="210"/>
        </w:trPr>
        <w:tc>
          <w:tcPr>
            <w:tcW w:w="10827" w:type="dxa"/>
            <w:gridSpan w:val="8"/>
            <w:shd w:val="clear" w:color="auto" w:fill="538135" w:themeFill="accent6" w:themeFillShade="BF"/>
            <w:tcMar>
              <w:top w:w="100" w:type="dxa"/>
              <w:left w:w="100" w:type="dxa"/>
              <w:bottom w:w="100" w:type="dxa"/>
              <w:right w:w="100" w:type="dxa"/>
            </w:tcMar>
          </w:tcPr>
          <w:p w14:paraId="2E249A1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IDENTIFICACIÓN DE RIESGOS</w:t>
            </w:r>
          </w:p>
        </w:tc>
      </w:tr>
      <w:tr w:rsidR="00835B21" w:rsidRPr="00BC2386" w14:paraId="42A6A58B" w14:textId="77777777" w:rsidTr="00AC41A9">
        <w:trPr>
          <w:gridAfter w:val="1"/>
          <w:wAfter w:w="53" w:type="dxa"/>
          <w:trHeight w:val="1390"/>
        </w:trPr>
        <w:tc>
          <w:tcPr>
            <w:tcW w:w="1277" w:type="dxa"/>
            <w:shd w:val="clear" w:color="auto" w:fill="538135" w:themeFill="accent6" w:themeFillShade="BF"/>
            <w:tcMar>
              <w:top w:w="100" w:type="dxa"/>
              <w:left w:w="100" w:type="dxa"/>
              <w:bottom w:w="100" w:type="dxa"/>
              <w:right w:w="100" w:type="dxa"/>
            </w:tcMar>
            <w:vAlign w:val="center"/>
          </w:tcPr>
          <w:p w14:paraId="5EE7E6B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FASE </w:t>
            </w:r>
          </w:p>
        </w:tc>
        <w:tc>
          <w:tcPr>
            <w:tcW w:w="1134" w:type="dxa"/>
            <w:shd w:val="clear" w:color="auto" w:fill="538135" w:themeFill="accent6" w:themeFillShade="BF"/>
            <w:tcMar>
              <w:top w:w="100" w:type="dxa"/>
              <w:left w:w="100" w:type="dxa"/>
              <w:bottom w:w="100" w:type="dxa"/>
              <w:right w:w="100" w:type="dxa"/>
            </w:tcMar>
            <w:vAlign w:val="center"/>
          </w:tcPr>
          <w:p w14:paraId="018C071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TIPO </w:t>
            </w:r>
          </w:p>
        </w:tc>
        <w:tc>
          <w:tcPr>
            <w:tcW w:w="1984" w:type="dxa"/>
            <w:shd w:val="clear" w:color="auto" w:fill="538135" w:themeFill="accent6" w:themeFillShade="BF"/>
            <w:tcMar>
              <w:top w:w="100" w:type="dxa"/>
              <w:left w:w="100" w:type="dxa"/>
              <w:bottom w:w="100" w:type="dxa"/>
              <w:right w:w="100" w:type="dxa"/>
            </w:tcMar>
            <w:vAlign w:val="center"/>
          </w:tcPr>
          <w:p w14:paraId="73F84DF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DESCRIPCIÓN</w:t>
            </w:r>
          </w:p>
        </w:tc>
        <w:tc>
          <w:tcPr>
            <w:tcW w:w="1418" w:type="dxa"/>
            <w:shd w:val="clear" w:color="auto" w:fill="538135" w:themeFill="accent6" w:themeFillShade="BF"/>
            <w:tcMar>
              <w:top w:w="100" w:type="dxa"/>
              <w:left w:w="100" w:type="dxa"/>
              <w:bottom w:w="100" w:type="dxa"/>
              <w:right w:w="100" w:type="dxa"/>
            </w:tcMar>
            <w:vAlign w:val="center"/>
          </w:tcPr>
          <w:p w14:paraId="17D537A3"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PROBABILIDAD</w:t>
            </w:r>
          </w:p>
          <w:p w14:paraId="69C41A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1. Raro </w:t>
            </w:r>
          </w:p>
          <w:p w14:paraId="234A6845"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 Improbable</w:t>
            </w:r>
          </w:p>
          <w:p w14:paraId="788ED4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1A8BEC08"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4.Probable</w:t>
            </w:r>
          </w:p>
          <w:p w14:paraId="04EAB7AA"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5.Casi Seguro</w:t>
            </w:r>
          </w:p>
        </w:tc>
        <w:tc>
          <w:tcPr>
            <w:tcW w:w="1134" w:type="dxa"/>
            <w:shd w:val="clear" w:color="auto" w:fill="538135" w:themeFill="accent6" w:themeFillShade="BF"/>
            <w:tcMar>
              <w:top w:w="100" w:type="dxa"/>
              <w:left w:w="100" w:type="dxa"/>
              <w:bottom w:w="100" w:type="dxa"/>
              <w:right w:w="100" w:type="dxa"/>
            </w:tcMar>
            <w:vAlign w:val="center"/>
          </w:tcPr>
          <w:p w14:paraId="3B94B68C"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IMPACTO</w:t>
            </w:r>
          </w:p>
          <w:p w14:paraId="532BDEC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1.Insignificante</w:t>
            </w:r>
          </w:p>
          <w:p w14:paraId="550DF11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2.Menor</w:t>
            </w:r>
          </w:p>
          <w:p w14:paraId="12E73B8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4BE27B2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4.Mayor</w:t>
            </w:r>
          </w:p>
          <w:p w14:paraId="4A9BAFAE"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5.Catastrófico</w:t>
            </w:r>
          </w:p>
        </w:tc>
        <w:tc>
          <w:tcPr>
            <w:tcW w:w="1843" w:type="dxa"/>
            <w:shd w:val="clear" w:color="auto" w:fill="538135" w:themeFill="accent6" w:themeFillShade="BF"/>
            <w:tcMar>
              <w:top w:w="100" w:type="dxa"/>
              <w:left w:w="100" w:type="dxa"/>
              <w:bottom w:w="100" w:type="dxa"/>
              <w:right w:w="100" w:type="dxa"/>
            </w:tcMar>
            <w:vAlign w:val="center"/>
          </w:tcPr>
          <w:p w14:paraId="51AF939B"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EFECTOS </w:t>
            </w:r>
          </w:p>
        </w:tc>
        <w:tc>
          <w:tcPr>
            <w:tcW w:w="1984" w:type="dxa"/>
            <w:shd w:val="clear" w:color="auto" w:fill="538135" w:themeFill="accent6" w:themeFillShade="BF"/>
            <w:tcMar>
              <w:top w:w="100" w:type="dxa"/>
              <w:left w:w="100" w:type="dxa"/>
              <w:bottom w:w="100" w:type="dxa"/>
              <w:right w:w="100" w:type="dxa"/>
            </w:tcMar>
            <w:vAlign w:val="center"/>
          </w:tcPr>
          <w:p w14:paraId="57BE82A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MEDIDAS DE MITIGACIÓN</w:t>
            </w:r>
          </w:p>
        </w:tc>
      </w:tr>
      <w:tr w:rsidR="00835B21" w:rsidRPr="00BC2386" w14:paraId="44DDBD24"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29A8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3CA7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Administrativos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F743A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A01E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57DE4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F6F7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El incumplimiento de las actividades de evaluación, control y seguimiento a los predios asociados a actividad extractiva de minerales, industriales o de servicios que impactan de forma directa 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8A5B4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Coordinación entre la gerencia del proyecto y el área administrativa para disminuir los tiempo de cese de los profesionales por contratación. </w:t>
            </w:r>
          </w:p>
        </w:tc>
      </w:tr>
      <w:tr w:rsidR="00835B21" w:rsidRPr="00BC2386" w14:paraId="1879F0B0"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ADE6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819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biológico: plagas, epidemias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9C2C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Epidemia o Pandemia que conlleve a cuarentena y afecte directamente el desarrollo de las labores de visitas, diligencias técnicas de reconocimiento, acompañamiento a labores de investigación de sitio o remediación.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93488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342C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34D7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 imposibilidad de desarrollar labores de campo por parte de los profesionales adscritos a los grupos disminuye la capacidad de emitir las actuaciones técnicas de evaluación, control y seguimiento impidiendo lograr el diagnóstico de los predios.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46DC2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y administrativo mientras se reactivan las actividades en campo.</w:t>
            </w:r>
          </w:p>
        </w:tc>
      </w:tr>
      <w:tr w:rsidR="00835B21" w:rsidRPr="00BC2386" w14:paraId="3732DEC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33BE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EE981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socio-natural: inundaciones, movimientos en masa, incendios forestales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4E600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Movimientos de remoción en masa en predios con suelos degradados por antigua actividad extractiva de minerales que dificultan o impiden el desarrollo de actividades de control.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C7086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99DD5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CD137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Condiciones de riesgo por fenómenos de deslizamiento y remoción en masa, en los predios asociados a actividad extractiva de minerales que impiden el desarrollo de actividades de control, lo que conlleva a impedir su correcto diagnóstico.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71AE2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asociado a solicitar a los responsables el inmediato desarrollo de actividades de restauración y reconformación morfológica de los predios afectados.</w:t>
            </w:r>
          </w:p>
        </w:tc>
      </w:tr>
      <w:tr w:rsidR="00835B21" w:rsidRPr="00BC2386" w14:paraId="4ADFF48D"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99D64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BF4FE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68CA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Recortes presupuestales asociados a los proyectos por emergencias sanitarias o de otra índole, que comprometa los recursos humanos, físicos y tecnológicos que se requieren para el cumplimiento de los productos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350B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18115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5EFD7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El no poder contar con los recursos necesarios para ejecutar las diversas actividades conlleva directamente al incumplimiento de los objetivos.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DBE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Reformulación de las metas del proyecto en consecuencia a la disponibilidad presupuestal </w:t>
            </w:r>
          </w:p>
        </w:tc>
      </w:tr>
      <w:tr w:rsidR="00835B21" w:rsidRPr="00BC2386" w14:paraId="5FF10468"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B58F2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4295E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Operacionales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7D8F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Retrasos en la programación de la ejecución del proyecto, por incumplimientos en los planes de trabajo de los profesionales o por falta en la disponibilidad de vehículos o equipos.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B6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68408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808EA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Los incumplimientos contractuales, la no disponibilidad de los equipos o vehículos de transporte para el desarrollo de las actividades de evaluación, control y vigilancia afectan el cumplimiento de la programación establecida.</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ED701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Formulación de un plan de choque que conlleve a aumentar las actividades hasta alcanzar la programación establecida inicialmente.</w:t>
            </w:r>
          </w:p>
        </w:tc>
      </w:tr>
      <w:tr w:rsidR="00835B21" w:rsidRPr="00BC2386" w14:paraId="7DB2AE1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42E78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lastRenderedPageBreak/>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B895B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542A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Impedimento de los propietarios para el ingreso a sus predios.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DD305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93BB9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8F743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No poder ingresar a los predios afecta el desarrollo de las actividades de evaluación, control y seguimiento ya que no se pueden desarrollar las diligencias técnicas requisito indispensable en la mayoría de los casos para emitir las actuaciones técnicas de fondo.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6AD67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Solicitar acompañamiento policivo o iniciar los procesos legales que se requieren para lograr la verificación de las condiciones físicas y ambientales de los predios.</w:t>
            </w:r>
          </w:p>
        </w:tc>
      </w:tr>
      <w:tr w:rsidR="00835B21" w:rsidRPr="00BC2386" w14:paraId="31B2157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CE2CF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9F834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B1C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Falta de voluntad de los propietarios de los predios para adelantar acciones que conlleven a la investigación, remediación y restauración. En consecuencia, es necesario emprender las acciones legales que conlleven a imponer dicha obligación con la resolución de un proceso sancionatorio en el marco de la Ley 1333/09.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08A87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33A1D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D583C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2E850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Agilizar los procesos sancionatorios dentro del marco de los tiempos establecidos en la Ley 1333/09 de manera que se logre una intervención efectiva y en el menor tiempo posible a los predios afectados.</w:t>
            </w:r>
          </w:p>
        </w:tc>
      </w:tr>
      <w:tr w:rsidR="00835B21" w:rsidRPr="00BC2386" w14:paraId="0568B0F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ED56D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2A025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A8F4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Al ser una autoridad de nivel distrital esta supeditada al cumplimiento del marco normativo del ámbito nacional que expidan las diferentes autoridades ambientales, minas y energía en relación a aspectos que pudiesen afectar el desarrollo de las labores propias de control y vigilancia o el funcionamiento de los establecimientos.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BED98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2. Improbable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ACCE4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71CA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78A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Verificar acciones legales e implementación del cumplimiento de la normativa</w:t>
            </w:r>
          </w:p>
        </w:tc>
      </w:tr>
      <w:tr w:rsidR="00835B21" w:rsidRPr="00BC2386" w14:paraId="0972CF35"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58BB1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0EE56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84990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Reestructuración de presupuestos de la Entidad que cambie o modifique las funciones de la Subdirección del Recurso Hídrico y del Suelo y que tenga injerencia en las actividades de control y vigilancia a minería, a almacenamiento y distribución de hidrocarburos y sus derivados, de suelos contaminados y pasivos ambientales.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EEB8B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314043"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7B26E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Las actividades planteadas están en el marco de las funciones propias de la Subdirección, cualquier modificación afecta el logró del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8F4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Articulación entre las dependencias reaccionadas con el proyecto y en los responsables para el desarrollo de las actividades.</w:t>
            </w:r>
          </w:p>
        </w:tc>
      </w:tr>
    </w:tbl>
    <w:p w14:paraId="1483E79E" w14:textId="77777777" w:rsidR="00835B21" w:rsidRPr="00BC2386" w:rsidRDefault="00835B21" w:rsidP="00835B21">
      <w:pPr>
        <w:jc w:val="center"/>
        <w:rPr>
          <w:rFonts w:ascii="Times New Roman" w:hAnsi="Times New Roman"/>
          <w:i/>
          <w:iCs/>
          <w:sz w:val="18"/>
          <w:szCs w:val="18"/>
        </w:rPr>
      </w:pPr>
      <w:r w:rsidRPr="00BC2386">
        <w:rPr>
          <w:rFonts w:ascii="Times New Roman" w:hAnsi="Times New Roman"/>
          <w:i/>
          <w:iCs/>
          <w:sz w:val="18"/>
          <w:szCs w:val="18"/>
        </w:rPr>
        <w:t>Fuente: SDA – Ficha MGA 2020</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6B41C83" w14:textId="29483B47" w:rsidR="001E425E" w:rsidRPr="00097D23" w:rsidRDefault="00664915" w:rsidP="00833F6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325B1635" w14:textId="77777777" w:rsidR="00833F63" w:rsidRDefault="00833F63" w:rsidP="00833F63">
      <w:pPr>
        <w:rPr>
          <w:rFonts w:ascii="Times New Roman" w:hAnsi="Times New Roman"/>
          <w:bCs/>
          <w:szCs w:val="24"/>
          <w:lang w:eastAsia="es-CO"/>
        </w:rPr>
      </w:pPr>
      <w:r>
        <w:rPr>
          <w:rFonts w:ascii="Times New Roman" w:hAnsi="Times New Roman"/>
          <w:bCs/>
          <w:szCs w:val="24"/>
          <w:lang w:eastAsia="es-CO"/>
        </w:rPr>
        <w:lastRenderedPageBreak/>
        <w:t>De acuerdo con objetivo general del proyecto, fomentar las actividades de mitigación sobre los impactos ambientales al suelo y agua subterránea del acuífero somero, a través de acciones de evaluación control y vigilancia para diagnosticar las condiciones físicas, químicas y geológicas, y el control ambiental en predios que desarrollan actividades industriales, de servicios y con antecedentes de extracción de minerales en el perímetro urbano del distrito capital, Se considera que los riesgos analizados a continuación pueden afectar las actividades del proyecto.</w:t>
      </w:r>
    </w:p>
    <w:p w14:paraId="6B6FCB1D" w14:textId="77777777" w:rsidR="00833F63" w:rsidRDefault="00833F63" w:rsidP="00833F63">
      <w:pPr>
        <w:rPr>
          <w:rFonts w:ascii="Times New Roman" w:hAnsi="Times New Roman"/>
          <w:b/>
          <w:sz w:val="22"/>
          <w:szCs w:val="22"/>
          <w:u w:val="single"/>
        </w:rPr>
      </w:pPr>
    </w:p>
    <w:p w14:paraId="3AD00BE6" w14:textId="77777777" w:rsidR="00833F63" w:rsidRDefault="00833F63" w:rsidP="00833F63">
      <w:pPr>
        <w:rPr>
          <w:rFonts w:ascii="Times New Roman" w:hAnsi="Times New Roman"/>
          <w:b/>
          <w:sz w:val="22"/>
          <w:szCs w:val="22"/>
          <w:u w:val="single"/>
        </w:rPr>
      </w:pPr>
      <w:bookmarkStart w:id="17" w:name="_Hlk41142084"/>
    </w:p>
    <w:p w14:paraId="5A6553D7"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PROPOSITO:</w:t>
      </w:r>
    </w:p>
    <w:p w14:paraId="7C4E3E69" w14:textId="77777777" w:rsidR="00833F63" w:rsidRDefault="00833F63" w:rsidP="00833F63">
      <w:pPr>
        <w:rPr>
          <w:rFonts w:ascii="Times New Roman" w:hAnsi="Times New Roman"/>
          <w:b/>
          <w:sz w:val="22"/>
          <w:szCs w:val="22"/>
        </w:rPr>
      </w:pPr>
    </w:p>
    <w:p w14:paraId="60BD442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ADMINISTRATIVO: </w:t>
      </w:r>
      <w:r>
        <w:rPr>
          <w:rFonts w:ascii="Times New Roman" w:hAnsi="Times New Roman"/>
          <w:sz w:val="22"/>
          <w:szCs w:val="22"/>
        </w:rPr>
        <w:t>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w:t>
      </w:r>
    </w:p>
    <w:p w14:paraId="57EC1EF9" w14:textId="77777777" w:rsidR="00833F63" w:rsidRDefault="00833F63" w:rsidP="00833F63">
      <w:pPr>
        <w:pStyle w:val="Prrafodelista"/>
        <w:ind w:left="720"/>
        <w:rPr>
          <w:rFonts w:ascii="Times New Roman" w:hAnsi="Times New Roman"/>
          <w:sz w:val="22"/>
          <w:szCs w:val="22"/>
        </w:rPr>
      </w:pPr>
    </w:p>
    <w:p w14:paraId="186D270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60C88E3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E7DFE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289C96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B00DA8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ACC198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2FD0C2B"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770B101"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0904772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B5AC15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3B91C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F89FC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AF91C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29784EB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A6C0432"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94323C5"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6FBFFD1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35CD12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AD11D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136507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5CE16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E50BCE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014C97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CE9CC0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04414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4EC176A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F1FF9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54E85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74752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61C00F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077B17B"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817FD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B12625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53EB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D7372A0"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1012F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657CB7E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7CA712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D7C0C49"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AE08AB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33719F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3EC50F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5BEB79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73AAF9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13BC7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721A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1B881A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2AF026A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A07E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C723E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45DB1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D6014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9FC13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69087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6E5237C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3336CAE" w14:textId="77777777" w:rsidR="00833F63" w:rsidRDefault="00833F63" w:rsidP="00833F63">
      <w:pPr>
        <w:rPr>
          <w:rFonts w:ascii="Times New Roman" w:hAnsi="Times New Roman"/>
          <w:sz w:val="22"/>
          <w:szCs w:val="22"/>
        </w:rPr>
      </w:pPr>
    </w:p>
    <w:p w14:paraId="46DD3018"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incumplimiento de las actividades de evaluación, control y seguimiento a los predios asociados a actividad extractiva de minerales, industriales o de servicios que impactan de forma directa el propósito.</w:t>
      </w:r>
    </w:p>
    <w:p w14:paraId="2E8ADD3D"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Coordinación entre la gerencia del proyecto y el área administrativa para disminuir los tiempos de cese de los profesionales por contratación.</w:t>
      </w:r>
    </w:p>
    <w:p w14:paraId="205642CE" w14:textId="77777777" w:rsidR="00833F63" w:rsidRDefault="00833F63" w:rsidP="00833F63">
      <w:pPr>
        <w:rPr>
          <w:rFonts w:ascii="Times New Roman" w:hAnsi="Times New Roman"/>
          <w:sz w:val="22"/>
          <w:szCs w:val="22"/>
        </w:rPr>
      </w:pPr>
    </w:p>
    <w:p w14:paraId="284DA3EA"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ASOCIADOS A FENÓMENOS DE ORIGEN BIOLÓGICO COMO PLAGAS, EPIDEMIAS: </w:t>
      </w:r>
      <w:r>
        <w:rPr>
          <w:rFonts w:ascii="Times New Roman" w:hAnsi="Times New Roman"/>
          <w:sz w:val="22"/>
          <w:szCs w:val="22"/>
        </w:rPr>
        <w:t>Epidemia o Pandemia que conlleve a cuarentena y afecte directamente el desarrollo de las labores de visitas, diligencias técnicas de reconocimiento, acompañamiento a labores de investigación de sitio o remediación.</w:t>
      </w:r>
    </w:p>
    <w:p w14:paraId="459621FF" w14:textId="77777777" w:rsidR="00833F63" w:rsidRDefault="00833F63" w:rsidP="00833F63">
      <w:pPr>
        <w:pStyle w:val="Prrafodelista"/>
        <w:ind w:left="720"/>
        <w:rPr>
          <w:rFonts w:ascii="Times New Roman" w:hAnsi="Times New Roman"/>
          <w:sz w:val="22"/>
          <w:szCs w:val="22"/>
        </w:rPr>
      </w:pPr>
    </w:p>
    <w:p w14:paraId="2BA313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752450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A26290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5010D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65EE9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57F2CB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6AE326B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40DD4B4"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A2FF1A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C560C5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4C23AD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FC905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DEE98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354FDE3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CE140E3"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1A5D19C"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lastRenderedPageBreak/>
              <w:t>PROBABILIDAD</w:t>
            </w:r>
          </w:p>
        </w:tc>
        <w:tc>
          <w:tcPr>
            <w:tcW w:w="1100" w:type="pct"/>
            <w:vAlign w:val="center"/>
            <w:hideMark/>
          </w:tcPr>
          <w:p w14:paraId="41672D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E5513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0D6088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7E12AA3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D17F0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A77B18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0F0C95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882FF9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493DD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79356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A7B4FF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47B8811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C3D2394"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208A9E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41A1CB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30689A5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7F6F5D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184241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0E39EBB"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774D41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9D3D61A"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X</w:t>
            </w:r>
          </w:p>
        </w:tc>
        <w:tc>
          <w:tcPr>
            <w:tcW w:w="946" w:type="pct"/>
            <w:tcBorders>
              <w:top w:val="nil"/>
              <w:left w:val="nil"/>
              <w:bottom w:val="nil"/>
              <w:right w:val="single" w:sz="4" w:space="0" w:color="auto"/>
            </w:tcBorders>
            <w:shd w:val="clear" w:color="auto" w:fill="FF0000"/>
            <w:vAlign w:val="center"/>
            <w:hideMark/>
          </w:tcPr>
          <w:p w14:paraId="7EC985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156828"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CC241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A918C7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1CC7036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9DA73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C8E5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49289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30A731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B9F768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54988D7"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39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78CB8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6C9A35C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30E4B8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674E0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CC7E4C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F92547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BBFEB2B" w14:textId="77777777" w:rsidR="00833F63" w:rsidRDefault="00833F63" w:rsidP="00833F63">
      <w:pPr>
        <w:rPr>
          <w:rFonts w:ascii="Times New Roman" w:hAnsi="Times New Roman"/>
          <w:sz w:val="22"/>
          <w:szCs w:val="22"/>
        </w:rPr>
      </w:pPr>
    </w:p>
    <w:p w14:paraId="1CADAD76"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La imposibilidad de desarrollar labores de campo por parte de los profesionales adscritos a los grupos disminuye la capacidad de emitir las actuaciones técnicas de evaluación, control y seguimiento impidiendo lograr el diagnóstico de los predios.</w:t>
      </w:r>
    </w:p>
    <w:p w14:paraId="4DE43D5E"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y administrativo mientras se reactivan las actividades en campo. Uso de EPP para disminuir posibles contagios.</w:t>
      </w:r>
    </w:p>
    <w:p w14:paraId="48130D26" w14:textId="77777777" w:rsidR="00833F63" w:rsidRDefault="00833F63" w:rsidP="00833F63">
      <w:pPr>
        <w:rPr>
          <w:rFonts w:ascii="Times New Roman" w:hAnsi="Times New Roman"/>
          <w:sz w:val="22"/>
          <w:szCs w:val="22"/>
        </w:rPr>
      </w:pPr>
    </w:p>
    <w:p w14:paraId="1DEC480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 xml:space="preserve">Al ser una autoridad de nivel distrital está supeditada al cumplimiento del marco normativo del ámbito nacional que expidan las diferentes autoridades ambientales, autoridades en la explotación minera y </w:t>
      </w:r>
      <w:proofErr w:type="gramStart"/>
      <w:r>
        <w:rPr>
          <w:rFonts w:ascii="Times New Roman" w:hAnsi="Times New Roman"/>
          <w:sz w:val="22"/>
          <w:szCs w:val="22"/>
        </w:rPr>
        <w:t>energética  en</w:t>
      </w:r>
      <w:proofErr w:type="gramEnd"/>
      <w:r>
        <w:rPr>
          <w:rFonts w:ascii="Times New Roman" w:hAnsi="Times New Roman"/>
          <w:sz w:val="22"/>
          <w:szCs w:val="22"/>
        </w:rPr>
        <w:t xml:space="preserve"> relación con aspectos que pudiesen afectar el desarrollo de las labores propias de control y vigilancia o el funcionamiento del establecimiento.</w:t>
      </w:r>
    </w:p>
    <w:p w14:paraId="0C9399CC" w14:textId="77777777" w:rsidR="00833F63" w:rsidRDefault="00833F63" w:rsidP="00833F63">
      <w:pPr>
        <w:pStyle w:val="Prrafodelista"/>
        <w:ind w:left="720"/>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8C21F7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157FE08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5D493F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73C980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AA0708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80A934F"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C5517CB" w14:textId="77777777" w:rsidTr="00833F63">
        <w:trPr>
          <w:trHeight w:val="317"/>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A3E8D19"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CB7C2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00B2B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631B39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678CB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331109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747B12A9"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77E720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08EA73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55C9E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D461B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5A78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83A08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5E79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F79A2E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087D43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65E5B8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38E68A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F58C20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B183EE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C317B15"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514BAEB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C652AB2"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6A5EC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03C2548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51328C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1B4F62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F8ED2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52B8C05"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2A76F4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3FBB1B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023CD12"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587F2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FA72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3070A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002A38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EC741B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3136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 </w:t>
            </w:r>
          </w:p>
        </w:tc>
      </w:tr>
      <w:tr w:rsidR="00833F63" w14:paraId="2A2D3C1A"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9DC5E77"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5620D7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4F9C0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C6BC8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DF3CBA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5CD843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FA50E9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2467807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1B953D1" w14:textId="77777777" w:rsidR="00833F63" w:rsidRDefault="00833F63" w:rsidP="00833F63">
      <w:pPr>
        <w:rPr>
          <w:rFonts w:ascii="Times New Roman" w:hAnsi="Times New Roman"/>
          <w:sz w:val="22"/>
          <w:szCs w:val="22"/>
        </w:rPr>
      </w:pPr>
    </w:p>
    <w:p w14:paraId="2DD13DF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p w14:paraId="4F41DED4"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Verificar acciones legales e implementación del cumplimiento de la normativa</w:t>
      </w:r>
    </w:p>
    <w:p w14:paraId="2D0E3F29" w14:textId="77777777" w:rsidR="00833F63" w:rsidRDefault="00833F63" w:rsidP="00833F63">
      <w:pPr>
        <w:jc w:val="left"/>
        <w:rPr>
          <w:rFonts w:ascii="Times New Roman" w:hAnsi="Times New Roman"/>
          <w:szCs w:val="24"/>
          <w:lang w:eastAsia="es-CO"/>
        </w:rPr>
      </w:pPr>
    </w:p>
    <w:p w14:paraId="1699E110"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COMPONENTE:</w:t>
      </w:r>
    </w:p>
    <w:p w14:paraId="285BDC22" w14:textId="77777777" w:rsidR="00833F63" w:rsidRDefault="00833F63" w:rsidP="00833F63">
      <w:pPr>
        <w:rPr>
          <w:rFonts w:ascii="Times New Roman" w:hAnsi="Times New Roman"/>
          <w:b/>
          <w:sz w:val="22"/>
          <w:szCs w:val="22"/>
        </w:rPr>
      </w:pPr>
    </w:p>
    <w:p w14:paraId="6718DC77"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lastRenderedPageBreak/>
        <w:t xml:space="preserve">RIESGO DE COSTOS: </w:t>
      </w:r>
      <w:r>
        <w:rPr>
          <w:rFonts w:ascii="Times New Roman" w:hAnsi="Times New Roman"/>
          <w:sz w:val="22"/>
          <w:szCs w:val="22"/>
        </w:rPr>
        <w:t>Recortes presupuestales asociados a los proyectos por emergencias sanitarias o de otra índole, que comprometa los recursos humanos, físicos y tecnológicos que se requieren para el cumplimiento de los productos.</w:t>
      </w:r>
    </w:p>
    <w:p w14:paraId="3FCEB273"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31EF4D66"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7A0AAD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9C7A5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B34124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7AE816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CA6B15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977F87"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44790B42"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72B1CE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A4EB0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27E7222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6915539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723558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8EBE370"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60404A1"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433283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3E15A1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74A985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03C26B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54AEE5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549F93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3093A5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C80EC0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8EC503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7CCE2F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CF708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7C00C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45EBF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086202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6B0DD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410B26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96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A4E9DA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05023635"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0E6476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5D4D0996"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F75A5E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5934E6"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18FE2F6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A6D04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341D9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04FDD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2ECDA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37CFD4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D0D393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658E2AF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C4F1253"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307EF1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1112757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C324F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1DA440"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6932DFB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FBCB5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A12C416"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5CF9339E" w14:textId="77777777" w:rsidR="00833F63" w:rsidRDefault="00833F63" w:rsidP="00833F63">
      <w:pPr>
        <w:rPr>
          <w:rFonts w:ascii="Times New Roman" w:hAnsi="Times New Roman"/>
          <w:sz w:val="22"/>
          <w:szCs w:val="22"/>
        </w:rPr>
      </w:pPr>
    </w:p>
    <w:p w14:paraId="5F3E1401"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no poder contar con los recursos necesarios para ejecutar las diversas actividades conlleva directamente al incumplimiento de los objetivos.</w:t>
      </w:r>
    </w:p>
    <w:p w14:paraId="6B9261DF"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Logro parcial o incumplimiento total de los objetivos considerando las limitantes en los recursos.</w:t>
      </w:r>
    </w:p>
    <w:p w14:paraId="69C19D59" w14:textId="77777777" w:rsidR="00833F63" w:rsidRDefault="00833F63" w:rsidP="00833F63">
      <w:pPr>
        <w:rPr>
          <w:rFonts w:ascii="Times New Roman" w:hAnsi="Times New Roman"/>
          <w:sz w:val="22"/>
          <w:szCs w:val="22"/>
        </w:rPr>
      </w:pPr>
    </w:p>
    <w:p w14:paraId="43BE4A8E"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Ante la falta de voluntad de los propietarios de los predios para adelantar acciones que conlleven a la investigación, remediación y restauración, es necesario emprender las acciones legales que conlleven a imponer dicha obligación con la resolución de un proceso sancionatorio en el marco de la Ley 1333/09.</w:t>
      </w:r>
    </w:p>
    <w:p w14:paraId="763F00A6"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B04FF8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A08E30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1FB689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4E7BD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94E3EE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9D0D19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668B1BC8" w14:textId="77777777" w:rsidTr="00833F63">
        <w:trPr>
          <w:trHeight w:val="39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9CC5D1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501C6D9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DA5D8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E6532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5B4064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506C51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0E933C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1B5C098"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4AA412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291C5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D47B6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326DA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A545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35C244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1C84043"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D742DA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D089A7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0E1AA60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F612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5E5FC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88E11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2D41D6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56A3D5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A562BD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6DBFD3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608D1B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071D52F"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A0C29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4FAFE40C"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9CC80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735AC967"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7BFE4B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17B6C7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5A1542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7C9E7E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76274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4710AE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F7ED6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6A5CF9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CED5778"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38419B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80659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6938F7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5F4454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71204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944FC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2192F11"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B2F71E6" w14:textId="77777777" w:rsidR="00833F63" w:rsidRDefault="00833F63" w:rsidP="00833F63">
      <w:pPr>
        <w:rPr>
          <w:rFonts w:ascii="Times New Roman" w:hAnsi="Times New Roman"/>
          <w:sz w:val="22"/>
          <w:szCs w:val="22"/>
        </w:rPr>
      </w:pPr>
    </w:p>
    <w:p w14:paraId="36314C69"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p w14:paraId="1C4D3967"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Medidas de mitigación</w:t>
      </w:r>
      <w:r>
        <w:rPr>
          <w:rFonts w:ascii="Times New Roman" w:hAnsi="Times New Roman"/>
          <w:b/>
          <w:sz w:val="22"/>
          <w:szCs w:val="22"/>
        </w:rPr>
        <w:t xml:space="preserve">: </w:t>
      </w:r>
      <w:r>
        <w:rPr>
          <w:rFonts w:ascii="Times New Roman" w:hAnsi="Times New Roman"/>
          <w:sz w:val="22"/>
          <w:szCs w:val="22"/>
        </w:rPr>
        <w:t>Agilizar los procesos sancionatorios dentro del marco de los tiempos establecidos en la Ley 1333/09 de manera que se logre una intervención efectiva y en el menor tiempo posible a los predios afectados.</w:t>
      </w:r>
    </w:p>
    <w:p w14:paraId="599FF56A" w14:textId="77777777" w:rsidR="00833F63" w:rsidRDefault="00833F63" w:rsidP="00833F63">
      <w:pPr>
        <w:rPr>
          <w:rFonts w:ascii="Times New Roman" w:hAnsi="Times New Roman"/>
          <w:sz w:val="22"/>
          <w:szCs w:val="22"/>
        </w:rPr>
      </w:pPr>
    </w:p>
    <w:p w14:paraId="6896CAE8"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ACTIVIDAD:</w:t>
      </w:r>
    </w:p>
    <w:p w14:paraId="7BF31998" w14:textId="77777777" w:rsidR="00833F63" w:rsidRDefault="00833F63" w:rsidP="00833F63">
      <w:pPr>
        <w:rPr>
          <w:rFonts w:ascii="Times New Roman" w:hAnsi="Times New Roman"/>
          <w:b/>
          <w:sz w:val="22"/>
          <w:szCs w:val="22"/>
        </w:rPr>
      </w:pPr>
    </w:p>
    <w:p w14:paraId="3829CAF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 DE ASOCIADOS A FENÓMENOS DE ORIGEN SOCIO-NATURAL: INUNDACIONES, MOVIMIENTOS EN MASA, INCENDIOS FORESTALES: </w:t>
      </w:r>
      <w:r>
        <w:rPr>
          <w:rFonts w:ascii="Times New Roman" w:hAnsi="Times New Roman"/>
          <w:sz w:val="22"/>
          <w:szCs w:val="22"/>
        </w:rPr>
        <w:t>Movimientos de remoción en masa en predios con suelos degradados por antigua actividad extractiva de minerales que dificultan o impiden el desarrollo de actividades de control.</w:t>
      </w:r>
    </w:p>
    <w:p w14:paraId="365C2B3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0749B3A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08F1B8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C4EBE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3E5524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F931E86"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A06F09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179C1B"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17D770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54C9A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56BD6E0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3410C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3474D8F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1B475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290386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BCC637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B11C5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3D7F3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B2D2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D4CFB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D519F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F51720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5A26FAE"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11D0BAB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886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697386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FFC76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63678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69A934D"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3119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BFE3E8"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13A3123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1FDD3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1A94A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6AEE7D6"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3F00D6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1E2C443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340CB3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1EE1F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796EB3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3CB40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76BCC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0D8ABB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E55BE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A832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7588B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FDEAA10"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3CE6C02"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26E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B367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29A3DA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23D21E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E49EDF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53AE7E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C2EDCF0"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CDEB4B5" w14:textId="77777777" w:rsidR="00833F63" w:rsidRDefault="00833F63" w:rsidP="00833F63">
      <w:pPr>
        <w:rPr>
          <w:rFonts w:ascii="Times New Roman" w:hAnsi="Times New Roman"/>
          <w:sz w:val="22"/>
          <w:szCs w:val="22"/>
        </w:rPr>
      </w:pPr>
    </w:p>
    <w:p w14:paraId="36C77592"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Condiciones de riesgo por fenómenos de deslizamiento y remoción en masa, en los predios asociados a actividad extractiva de minerales que impiden el desarrollo de actividades de control, lo que conlleva a impedir su correcto diagnóstico.</w:t>
      </w:r>
    </w:p>
    <w:p w14:paraId="1CF6389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asociado a solicitar a los responsables el inmediato desarrollo de actividades de restauración y reconformación morfológica de los predios afectados.</w:t>
      </w:r>
    </w:p>
    <w:p w14:paraId="2CE57E1A" w14:textId="77777777" w:rsidR="00833F63" w:rsidRDefault="00833F63" w:rsidP="00833F63">
      <w:pPr>
        <w:rPr>
          <w:rFonts w:ascii="Times New Roman" w:hAnsi="Times New Roman"/>
          <w:sz w:val="22"/>
          <w:szCs w:val="22"/>
        </w:rPr>
      </w:pPr>
    </w:p>
    <w:p w14:paraId="7B237A5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OPERACIONALES: </w:t>
      </w:r>
      <w:r>
        <w:rPr>
          <w:rFonts w:ascii="Times New Roman" w:hAnsi="Times New Roman"/>
          <w:sz w:val="22"/>
          <w:szCs w:val="22"/>
        </w:rPr>
        <w:t>Retrasos en la programación de la ejecución del proyecto, por incumplimientos en los planes de trabajo de los profesionales o por falta en la disponibilidad de vehículos o equipos.</w:t>
      </w:r>
    </w:p>
    <w:p w14:paraId="496BCD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70D87B78"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47ADC5D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08B04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03D20D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2223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0CCB5DC1"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2B2194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C0599F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DEF63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3B6F16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5747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B68299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6611C4A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44FA12E"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158188A0"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56319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5E73F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36D327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F35235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9AB2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D0F4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A798F0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7DE706C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2FCBC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54E934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197BE5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56E37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706044C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383CAB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811A8C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746F9E9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92495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8AE63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AAEC6A3"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E07425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787F4DF"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5C9C1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C5E71BD"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842971"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1369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74171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4BD68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16FD48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A38CC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00B4B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B79BC47"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1E3E0966"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4CFB48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F0DA4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96F38E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2AE7A54E"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3BD66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414C29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5838A3B8"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FED9EF7" w14:textId="77777777" w:rsidR="00833F63" w:rsidRDefault="00833F63" w:rsidP="00833F63">
      <w:pPr>
        <w:rPr>
          <w:rFonts w:ascii="Times New Roman" w:hAnsi="Times New Roman"/>
          <w:sz w:val="22"/>
          <w:szCs w:val="22"/>
        </w:rPr>
      </w:pPr>
    </w:p>
    <w:p w14:paraId="29F82A6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Los incumplimientos contractuales, la no disponibilidad de los equipos o vehículos de transporte para el desarrollo de las actividades de evaluación, control y vigilancia afectan el cumplimiento de la programación establecida.</w:t>
      </w:r>
    </w:p>
    <w:p w14:paraId="307F352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 xml:space="preserve">Formulación de un plan de </w:t>
      </w:r>
      <w:proofErr w:type="gramStart"/>
      <w:r>
        <w:rPr>
          <w:rFonts w:ascii="Times New Roman" w:hAnsi="Times New Roman"/>
          <w:sz w:val="22"/>
          <w:szCs w:val="22"/>
        </w:rPr>
        <w:t>contingencia  que</w:t>
      </w:r>
      <w:proofErr w:type="gramEnd"/>
      <w:r>
        <w:rPr>
          <w:rFonts w:ascii="Times New Roman" w:hAnsi="Times New Roman"/>
          <w:sz w:val="22"/>
          <w:szCs w:val="22"/>
        </w:rPr>
        <w:t xml:space="preserve"> conlleve a aumentar las actividades hasta alcanzar la programación establecida inicialmente.</w:t>
      </w:r>
    </w:p>
    <w:p w14:paraId="1B27693F" w14:textId="77777777" w:rsidR="00833F63" w:rsidRDefault="00833F63" w:rsidP="00833F63">
      <w:pPr>
        <w:jc w:val="left"/>
        <w:rPr>
          <w:rFonts w:ascii="Times New Roman" w:hAnsi="Times New Roman"/>
          <w:szCs w:val="24"/>
          <w:lang w:eastAsia="es-CO"/>
        </w:rPr>
      </w:pPr>
    </w:p>
    <w:p w14:paraId="51FD5952"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Impedimento de los propietarios para el ingreso a sus predios.</w:t>
      </w: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4CABBE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F588AE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2D5EA9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3960DC1"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E9A8FF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A91C1F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DBED57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09870D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432D46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B0646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7ADC4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092A8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5529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FD92CFA"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D10CEE9"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8DEAAD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514BF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B2670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CADD6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3FC08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6E4BA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ADA73C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99F2EE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AD79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B654B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820626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6BE6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6A47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5B49D76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61954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699934F8"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592027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D751FB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514E87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CBD630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88DA272"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C9DB62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E42842F"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FA813C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7E0C0E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F883C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88C5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BDA18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8DF7F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112547D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9349C4E"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8D5E0EE"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0022EC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6E4E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594CD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8AA9E9B"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4937B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90112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025D32C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C72D3D7" w14:textId="77777777" w:rsidR="00833F63" w:rsidRDefault="00833F63" w:rsidP="00833F63">
      <w:pPr>
        <w:rPr>
          <w:rFonts w:ascii="Times New Roman" w:hAnsi="Times New Roman"/>
          <w:sz w:val="22"/>
          <w:szCs w:val="22"/>
        </w:rPr>
      </w:pPr>
    </w:p>
    <w:p w14:paraId="6C35B22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No poder ingresar a los predios afecta el desarrollo de las actividades de evaluación, control y seguimiento ya que no se pueden desarrollar las diligencias técnicas requisito indispensable en la mayoría de los casos para emitir las actuaciones técnicas de fondo.</w:t>
      </w:r>
    </w:p>
    <w:p w14:paraId="62FF705B"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Solicitar acompañamiento policivo o iniciar los procesos legales que se requieren para lograr la verificación de las condiciones físicas y ambientales de los predios.</w:t>
      </w:r>
    </w:p>
    <w:p w14:paraId="7C864146" w14:textId="77777777" w:rsidR="00833F63" w:rsidRDefault="00833F63" w:rsidP="00833F63">
      <w:pPr>
        <w:rPr>
          <w:rFonts w:ascii="Times New Roman" w:hAnsi="Times New Roman"/>
          <w:sz w:val="22"/>
          <w:szCs w:val="22"/>
        </w:rPr>
      </w:pPr>
    </w:p>
    <w:p w14:paraId="4583220D"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DE COSTOS: </w:t>
      </w:r>
      <w:r>
        <w:rPr>
          <w:rFonts w:ascii="Times New Roman" w:hAnsi="Times New Roman"/>
          <w:sz w:val="22"/>
          <w:szCs w:val="22"/>
        </w:rPr>
        <w:t>Restructuración de presupuestos de la entidad que cambie o modifique las funciones y disponibilidad presupuestal de la Subdirección del Recurso Hídrico y del Suelo y que tenga injerencia en las actividades de control y vigilancia a minería, a almacenamiento y distribución de hidrocarburos y sus derivados, de suelos contaminados y pasivos ambientales.</w:t>
      </w:r>
    </w:p>
    <w:p w14:paraId="52BE1DD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322BA64"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28CC2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D2128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C2024E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834237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1341172C"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2C6FECA2" w14:textId="77777777" w:rsidTr="00833F63">
        <w:trPr>
          <w:trHeight w:val="17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26556C24"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622647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07401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D7777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243D5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852D2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5F83234D"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5CD5CADB"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10D422C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5460E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BB542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3D0786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FA70D2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6AFC0C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07F252"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44EE23BA"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EDD7F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127E63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5AF89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A45FF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A64A16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191F8F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2A342DA"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3E7F32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468F8C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7A1E19E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FD3B02A"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271A3CF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4A16D07"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FE080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r>
      <w:tr w:rsidR="00833F63" w14:paraId="398680C2"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5C48779D"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321BA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05FCC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0BEBA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00D5A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564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8C570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423C6B"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806631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2814A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3A7184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007F8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3CC6435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D11E2B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232F0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3149264"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0BEAD" w14:textId="77777777" w:rsidR="00833F63" w:rsidRDefault="00833F63" w:rsidP="00833F63">
      <w:pPr>
        <w:rPr>
          <w:rFonts w:ascii="Times New Roman" w:hAnsi="Times New Roman"/>
          <w:sz w:val="22"/>
          <w:szCs w:val="22"/>
        </w:rPr>
      </w:pPr>
    </w:p>
    <w:p w14:paraId="29DFBD1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Efectos:</w:t>
      </w:r>
      <w:r>
        <w:rPr>
          <w:rFonts w:ascii="Times New Roman" w:hAnsi="Times New Roman"/>
          <w:sz w:val="22"/>
          <w:szCs w:val="22"/>
        </w:rPr>
        <w:t xml:space="preserve"> Las actividades planteadas están en el marco de las funciones propias de la Subdirección, cualquier modificación afecta el logró del propósito.</w:t>
      </w:r>
    </w:p>
    <w:p w14:paraId="07666883"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Rearticulación en las gerencias del proyecto y en los responsables para el desarrollo de las actividades.</w:t>
      </w:r>
    </w:p>
    <w:bookmarkEnd w:id="17"/>
    <w:p w14:paraId="7EC429CD" w14:textId="77777777" w:rsidR="00833F63" w:rsidRDefault="00833F63" w:rsidP="00833F63">
      <w:pPr>
        <w:jc w:val="left"/>
        <w:rPr>
          <w:rFonts w:ascii="Times New Roman" w:hAnsi="Times New Roman"/>
          <w:szCs w:val="24"/>
          <w:lang w:eastAsia="es-CO"/>
        </w:rPr>
      </w:pPr>
    </w:p>
    <w:p w14:paraId="468490DD" w14:textId="77777777" w:rsidR="00833F63" w:rsidRDefault="00833F63" w:rsidP="00833F63">
      <w:pPr>
        <w:rPr>
          <w:rFonts w:ascii="Times New Roman" w:hAnsi="Times New Roman"/>
          <w:szCs w:val="24"/>
          <w:lang w:eastAsia="es-CO"/>
        </w:rPr>
      </w:pPr>
      <w:r>
        <w:rPr>
          <w:rFonts w:ascii="Times New Roman" w:hAnsi="Times New Roman"/>
          <w:szCs w:val="24"/>
          <w:lang w:eastAsia="es-CO"/>
        </w:rPr>
        <w:t>La clasificación de riesgos más vulnerable estaría por parte de efectos externos al proyecto como condiciones asociadas a fenómenos biológicos o físicos que no son de control de la planeación. Por otro lado, se identifica como amenaza para el proyecto las determinaciones de los propietarios de los predios objeto de evaluación control y vigilancia. Asimismo, se contemplaron decisiones gerenciales o administrativas a nivel nación o distrito, que involucren modificaciones en la estructura de los grupos ejecutores del proyecto.</w:t>
      </w:r>
    </w:p>
    <w:p w14:paraId="66B63DA2" w14:textId="77777777" w:rsidR="00833F63" w:rsidRDefault="00833F63" w:rsidP="00833F63">
      <w:pPr>
        <w:rPr>
          <w:rFonts w:ascii="Times New Roman" w:hAnsi="Times New Roman"/>
          <w:szCs w:val="24"/>
          <w:lang w:eastAsia="es-CO"/>
        </w:rPr>
      </w:pPr>
    </w:p>
    <w:p w14:paraId="78675766" w14:textId="77777777" w:rsidR="00833F63" w:rsidRDefault="00833F63" w:rsidP="00833F63">
      <w:pPr>
        <w:rPr>
          <w:rFonts w:ascii="Times New Roman" w:hAnsi="Times New Roman"/>
          <w:szCs w:val="24"/>
          <w:lang w:eastAsia="es-CO"/>
        </w:rPr>
      </w:pPr>
      <w:r>
        <w:rPr>
          <w:rFonts w:ascii="Times New Roman" w:hAnsi="Times New Roman"/>
          <w:szCs w:val="24"/>
          <w:lang w:eastAsia="es-CO"/>
        </w:rPr>
        <w:t>Sin embargo, las medidas de mitigación de riesgo planteadas se alinean con la operatividad y ejecución adecuada del proyecto de acuerdo con los planteamientos realizados.</w:t>
      </w: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18BABD95" w14:textId="77777777" w:rsidR="00833F63" w:rsidRDefault="00833F63" w:rsidP="00833F63">
      <w:pPr>
        <w:jc w:val="left"/>
        <w:rPr>
          <w:rFonts w:ascii="Times New Roman" w:hAnsi="Times New Roman"/>
          <w:bCs/>
          <w:iCs/>
          <w:szCs w:val="24"/>
          <w:lang w:eastAsia="es-CO"/>
        </w:rPr>
      </w:pPr>
      <w:r>
        <w:rPr>
          <w:rFonts w:ascii="Times New Roman" w:hAnsi="Times New Roman"/>
          <w:bCs/>
          <w:iCs/>
          <w:szCs w:val="24"/>
          <w:lang w:eastAsia="es-CO"/>
        </w:rPr>
        <w:t xml:space="preserve">Toda vez que el proyecto, se desarrolla como parte de un servicio ambiental en el marco de las funciones de la </w:t>
      </w:r>
      <w:proofErr w:type="gramStart"/>
      <w:r>
        <w:rPr>
          <w:rFonts w:ascii="Times New Roman" w:hAnsi="Times New Roman"/>
          <w:bCs/>
          <w:iCs/>
          <w:szCs w:val="24"/>
          <w:lang w:eastAsia="es-CO"/>
        </w:rPr>
        <w:t>Secretaria</w:t>
      </w:r>
      <w:proofErr w:type="gramEnd"/>
      <w:r>
        <w:rPr>
          <w:rFonts w:ascii="Times New Roman" w:hAnsi="Times New Roman"/>
          <w:bCs/>
          <w:iCs/>
          <w:szCs w:val="24"/>
          <w:lang w:eastAsia="es-CO"/>
        </w:rPr>
        <w:t xml:space="preserve"> Distrital de ambiente establecidas en el Decreto 109 de 2009 no se presentaran valores de ingresos.</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67333D51" w14:textId="10DC422C" w:rsidR="00F550E3" w:rsidRPr="00C74419"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p w14:paraId="3E22A5B5"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 xml:space="preserve">De acuerdo con análisis de beneficios se estableció como beneficio económico único los Costos evitados por remediación en predios afectados y/o Costos evitados por recuperación y restauración del suelo en predios con afectación minera. </w:t>
      </w:r>
    </w:p>
    <w:p w14:paraId="523BDB3B" w14:textId="77777777" w:rsidR="00284AC3" w:rsidRDefault="00284AC3" w:rsidP="00284AC3">
      <w:pPr>
        <w:rPr>
          <w:rFonts w:ascii="Times New Roman" w:hAnsi="Times New Roman"/>
          <w:bCs/>
          <w:szCs w:val="24"/>
          <w:lang w:eastAsia="es-CO"/>
        </w:rPr>
      </w:pPr>
    </w:p>
    <w:p w14:paraId="5D565567"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Ahora bien, para el cálculo del costo unitario se tomó como base un metro cubico de suelo a remediar, el cual en la literatura se concibe en su menor costo con 30 USD (111.000 COP)</w:t>
      </w:r>
      <w:r>
        <w:rPr>
          <w:rStyle w:val="Refdenotaalpie"/>
          <w:rFonts w:ascii="Times New Roman" w:hAnsi="Times New Roman"/>
          <w:sz w:val="20"/>
          <w:lang w:eastAsia="es-CO"/>
        </w:rPr>
        <w:footnoteReference w:id="1"/>
      </w:r>
      <w:r>
        <w:rPr>
          <w:rFonts w:ascii="Times New Roman" w:hAnsi="Times New Roman"/>
          <w:bCs/>
          <w:szCs w:val="24"/>
          <w:lang w:eastAsia="es-CO"/>
        </w:rPr>
        <w:t>. A continuación, se estableció como valor de línea base de remediación un valor de 25.32 hectáreas de suelo intervenido que se reportaron en los antecedentes y situación actual del suelo y que se evidencian en los informes de Seguimiento SEGPLAN BMT 2019, de manera que se obtienen 253.200 m</w:t>
      </w:r>
      <w:r>
        <w:rPr>
          <w:rFonts w:ascii="Times New Roman" w:hAnsi="Times New Roman"/>
          <w:bCs/>
          <w:szCs w:val="24"/>
          <w:vertAlign w:val="superscript"/>
          <w:lang w:eastAsia="es-CO"/>
        </w:rPr>
        <w:t>2</w:t>
      </w:r>
      <w:r>
        <w:rPr>
          <w:rFonts w:ascii="Times New Roman" w:hAnsi="Times New Roman"/>
          <w:bCs/>
          <w:szCs w:val="24"/>
          <w:lang w:eastAsia="es-CO"/>
        </w:rPr>
        <w:t xml:space="preserve"> de suelo intervenido. Para el cálculo del volumen en efectos del cálculo del costo se calcula como escenario menos restrictivo 0.75 metros de profundidad de remediación (promedio niveles de aparición de acuífero somero), con lo cual se obtiene un valor de 253.200 m</w:t>
      </w:r>
      <w:r>
        <w:rPr>
          <w:rFonts w:ascii="Times New Roman" w:hAnsi="Times New Roman"/>
          <w:bCs/>
          <w:szCs w:val="24"/>
          <w:vertAlign w:val="superscript"/>
          <w:lang w:eastAsia="es-CO"/>
        </w:rPr>
        <w:t>3</w:t>
      </w:r>
      <w:r>
        <w:rPr>
          <w:rFonts w:ascii="Times New Roman" w:hAnsi="Times New Roman"/>
          <w:bCs/>
          <w:szCs w:val="24"/>
          <w:lang w:eastAsia="es-CO"/>
        </w:rPr>
        <w:t xml:space="preserve"> de suelo contaminando a remediar con un valor de 111.000 COP/m</w:t>
      </w:r>
      <w:proofErr w:type="gramStart"/>
      <w:r>
        <w:rPr>
          <w:rFonts w:ascii="Times New Roman" w:hAnsi="Times New Roman"/>
          <w:bCs/>
          <w:szCs w:val="24"/>
          <w:vertAlign w:val="superscript"/>
          <w:lang w:eastAsia="es-CO"/>
        </w:rPr>
        <w:t>3</w:t>
      </w:r>
      <w:r>
        <w:rPr>
          <w:rFonts w:ascii="Times New Roman" w:hAnsi="Times New Roman"/>
          <w:bCs/>
          <w:szCs w:val="24"/>
          <w:lang w:eastAsia="es-CO"/>
        </w:rPr>
        <w:t>,  al</w:t>
      </w:r>
      <w:proofErr w:type="gramEnd"/>
      <w:r>
        <w:rPr>
          <w:rFonts w:ascii="Times New Roman" w:hAnsi="Times New Roman"/>
          <w:bCs/>
          <w:szCs w:val="24"/>
          <w:lang w:eastAsia="es-CO"/>
        </w:rPr>
        <w:t xml:space="preserve"> </w:t>
      </w:r>
      <w:r>
        <w:rPr>
          <w:rFonts w:ascii="Times New Roman" w:hAnsi="Times New Roman"/>
          <w:bCs/>
          <w:szCs w:val="24"/>
          <w:lang w:eastAsia="es-CO"/>
        </w:rPr>
        <w:lastRenderedPageBreak/>
        <w:t>realizar un aumento del IPC del 5% anual se obtiene un costo de remediación evitado hasta 2024 de 23.281.002.802 COP.</w:t>
      </w:r>
    </w:p>
    <w:p w14:paraId="54172AA1" w14:textId="77777777" w:rsidR="00284AC3" w:rsidRDefault="00284AC3" w:rsidP="00284AC3">
      <w:pPr>
        <w:rPr>
          <w:rFonts w:ascii="Times New Roman" w:hAnsi="Times New Roman"/>
          <w:b/>
          <w:szCs w:val="24"/>
          <w:highlight w:val="yellow"/>
          <w:lang w:eastAsia="es-CO"/>
        </w:rPr>
      </w:pPr>
    </w:p>
    <w:p w14:paraId="17CB5701" w14:textId="77777777" w:rsidR="00284AC3" w:rsidRDefault="00284AC3" w:rsidP="00284AC3">
      <w:pPr>
        <w:jc w:val="left"/>
        <w:rPr>
          <w:rFonts w:ascii="Times New Roman" w:hAnsi="Times New Roman"/>
          <w:szCs w:val="24"/>
          <w:lang w:eastAsia="es-CO"/>
        </w:rPr>
      </w:pPr>
      <w:r>
        <w:rPr>
          <w:rFonts w:ascii="Times New Roman" w:hAnsi="Times New Roman"/>
          <w:szCs w:val="24"/>
          <w:lang w:eastAsia="es-CO"/>
        </w:rPr>
        <w:t>Es de resaltar que en universo de predios intervenidos que generaron el valor de 25.32 ha, son predios de propiedad privada y con interés de adquisición por parte del Instituto Distrital de Desarrollo Urbano IDU y el Instituto de Recreación y Deporte IDRD, quienes desarrollaran obras públicas en los mismos. Asimismo, se resalta que en el ejercicio de estimación de costos de beneficio no se cuenta con los valores de remediación de agua subterránea del acuífero somero por ausencia de datos de costeo en la literatura.</w:t>
      </w:r>
    </w:p>
    <w:p w14:paraId="6ED58625" w14:textId="77777777" w:rsidR="00284AC3" w:rsidRDefault="00284AC3" w:rsidP="00284AC3">
      <w:pPr>
        <w:jc w:val="left"/>
        <w:rPr>
          <w:rFonts w:ascii="Times New Roman" w:hAnsi="Times New Roman"/>
          <w:szCs w:val="24"/>
          <w:lang w:eastAsia="es-CO"/>
        </w:rPr>
      </w:pPr>
    </w:p>
    <w:p w14:paraId="10882FE8" w14:textId="6709D586"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 xml:space="preserve">Tabla </w:t>
      </w:r>
      <w:proofErr w:type="gramStart"/>
      <w:r>
        <w:rPr>
          <w:rFonts w:ascii="Times New Roman" w:hAnsi="Times New Roman"/>
          <w:sz w:val="22"/>
          <w:szCs w:val="22"/>
          <w:lang w:eastAsia="es-CO"/>
        </w:rPr>
        <w:t>20 .</w:t>
      </w:r>
      <w:proofErr w:type="gramEnd"/>
      <w:r>
        <w:rPr>
          <w:rFonts w:ascii="Times New Roman" w:hAnsi="Times New Roman"/>
          <w:sz w:val="22"/>
          <w:szCs w:val="22"/>
          <w:lang w:eastAsia="es-CO"/>
        </w:rPr>
        <w:t xml:space="preserve"> Análisis de beneficios de la alternativa.</w:t>
      </w:r>
    </w:p>
    <w:p w14:paraId="7F515223" w14:textId="4FA2826D" w:rsidR="00BD06CF" w:rsidRDefault="00BD06CF" w:rsidP="00BD06CF">
      <w:pPr>
        <w:jc w:val="right"/>
        <w:rPr>
          <w:rFonts w:ascii="Times New Roman" w:hAnsi="Times New Roman"/>
          <w:sz w:val="22"/>
          <w:szCs w:val="22"/>
          <w:lang w:eastAsia="es-CO"/>
        </w:rPr>
      </w:pPr>
      <w:r>
        <w:rPr>
          <w:rFonts w:ascii="Times New Roman" w:hAnsi="Times New Roman"/>
          <w:sz w:val="22"/>
          <w:szCs w:val="22"/>
          <w:lang w:eastAsia="es-CO"/>
        </w:rPr>
        <w:t>Cifras en millones de pesos</w:t>
      </w:r>
    </w:p>
    <w:tbl>
      <w:tblPr>
        <w:tblW w:w="9468" w:type="dxa"/>
        <w:tblInd w:w="-431" w:type="dxa"/>
        <w:tblLayout w:type="fixed"/>
        <w:tblCellMar>
          <w:left w:w="70" w:type="dxa"/>
          <w:right w:w="70" w:type="dxa"/>
        </w:tblCellMar>
        <w:tblLook w:val="04A0" w:firstRow="1" w:lastRow="0" w:firstColumn="1" w:lastColumn="0" w:noHBand="0" w:noVBand="1"/>
      </w:tblPr>
      <w:tblGrid>
        <w:gridCol w:w="993"/>
        <w:gridCol w:w="2552"/>
        <w:gridCol w:w="1417"/>
        <w:gridCol w:w="709"/>
        <w:gridCol w:w="709"/>
        <w:gridCol w:w="709"/>
        <w:gridCol w:w="708"/>
        <w:gridCol w:w="709"/>
        <w:gridCol w:w="962"/>
      </w:tblGrid>
      <w:tr w:rsidR="00BD06CF" w:rsidRPr="00606C5D" w14:paraId="17ED4FAB" w14:textId="77777777" w:rsidTr="00BD06CF">
        <w:trPr>
          <w:trHeight w:val="212"/>
        </w:trPr>
        <w:tc>
          <w:tcPr>
            <w:tcW w:w="99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E692D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TIPO</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9BE58C"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DESCRIPCIÓN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C2197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UNIDAD DE MEDIDA</w:t>
            </w:r>
          </w:p>
        </w:tc>
        <w:tc>
          <w:tcPr>
            <w:tcW w:w="3544"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F5853A1"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BIEN PRODUCIDO </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8D406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TOTAL</w:t>
            </w:r>
          </w:p>
        </w:tc>
      </w:tr>
      <w:tr w:rsidR="00BD06CF" w:rsidRPr="00606C5D" w14:paraId="6D641B89" w14:textId="77777777" w:rsidTr="00BD06CF">
        <w:trPr>
          <w:trHeight w:val="212"/>
        </w:trPr>
        <w:tc>
          <w:tcPr>
            <w:tcW w:w="9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6162446" w14:textId="77777777" w:rsidR="00BD06CF" w:rsidRPr="00606C5D" w:rsidRDefault="00BD06CF" w:rsidP="00AC41A9">
            <w:pPr>
              <w:jc w:val="left"/>
              <w:rPr>
                <w:rFonts w:ascii="Times New Roman" w:hAnsi="Times New Roman"/>
                <w:b/>
                <w:bCs/>
                <w:color w:val="FFFFFF"/>
                <w:sz w:val="22"/>
                <w:szCs w:val="22"/>
                <w:lang w:eastAsia="es-CO"/>
              </w:rPr>
            </w:pPr>
          </w:p>
        </w:tc>
        <w:tc>
          <w:tcPr>
            <w:tcW w:w="255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A7A3A0B" w14:textId="77777777" w:rsidR="00BD06CF" w:rsidRPr="00606C5D" w:rsidRDefault="00BD06CF" w:rsidP="00AC41A9">
            <w:pPr>
              <w:jc w:val="left"/>
              <w:rPr>
                <w:rFonts w:ascii="Times New Roman" w:hAnsi="Times New Roman"/>
                <w:b/>
                <w:bCs/>
                <w:color w:val="FFFFFF"/>
                <w:sz w:val="22"/>
                <w:szCs w:val="22"/>
                <w:lang w:eastAsia="es-CO"/>
              </w:rPr>
            </w:pPr>
          </w:p>
        </w:tc>
        <w:tc>
          <w:tcPr>
            <w:tcW w:w="141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E117CB4" w14:textId="77777777" w:rsidR="00BD06CF" w:rsidRPr="00606C5D" w:rsidRDefault="00BD06CF" w:rsidP="00AC41A9">
            <w:pPr>
              <w:jc w:val="left"/>
              <w:rPr>
                <w:rFonts w:ascii="Times New Roman" w:hAnsi="Times New Roman"/>
                <w:b/>
                <w:bCs/>
                <w:color w:val="FFFFFF"/>
                <w:sz w:val="22"/>
                <w:szCs w:val="22"/>
                <w:lang w:eastAsia="es-CO"/>
              </w:rPr>
            </w:pP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5FE9F4E2"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D6466B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7FC5EB99"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2022</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66EC3A5A"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2023</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0F876C9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2024</w:t>
            </w:r>
          </w:p>
        </w:tc>
        <w:tc>
          <w:tcPr>
            <w:tcW w:w="96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95D5A75" w14:textId="77777777" w:rsidR="00BD06CF" w:rsidRPr="00606C5D" w:rsidRDefault="00BD06CF" w:rsidP="00AC41A9">
            <w:pPr>
              <w:jc w:val="left"/>
              <w:rPr>
                <w:rFonts w:ascii="Times New Roman" w:hAnsi="Times New Roman"/>
                <w:b/>
                <w:bCs/>
                <w:color w:val="FFFFFF"/>
                <w:sz w:val="22"/>
                <w:szCs w:val="22"/>
                <w:lang w:eastAsia="es-CO"/>
              </w:rPr>
            </w:pPr>
          </w:p>
        </w:tc>
      </w:tr>
      <w:tr w:rsidR="00BD06CF" w:rsidRPr="00606C5D" w14:paraId="0EBE855F" w14:textId="77777777" w:rsidTr="00BD06CF">
        <w:trPr>
          <w:trHeight w:val="494"/>
        </w:trPr>
        <w:tc>
          <w:tcPr>
            <w:tcW w:w="993" w:type="dxa"/>
            <w:tcBorders>
              <w:top w:val="nil"/>
              <w:left w:val="single" w:sz="4" w:space="0" w:color="auto"/>
              <w:bottom w:val="single" w:sz="4" w:space="0" w:color="auto"/>
              <w:right w:val="single" w:sz="4" w:space="0" w:color="auto"/>
            </w:tcBorders>
            <w:shd w:val="clear" w:color="auto" w:fill="auto"/>
            <w:vAlign w:val="center"/>
          </w:tcPr>
          <w:p w14:paraId="3481393A"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Beneficio</w:t>
            </w:r>
          </w:p>
        </w:tc>
        <w:tc>
          <w:tcPr>
            <w:tcW w:w="2552" w:type="dxa"/>
            <w:tcBorders>
              <w:top w:val="nil"/>
              <w:left w:val="nil"/>
              <w:bottom w:val="single" w:sz="4" w:space="0" w:color="auto"/>
              <w:right w:val="single" w:sz="4" w:space="0" w:color="auto"/>
            </w:tcBorders>
            <w:shd w:val="clear" w:color="auto" w:fill="auto"/>
            <w:vAlign w:val="center"/>
          </w:tcPr>
          <w:p w14:paraId="5C7D339F"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El valor corresponde al costo asociado a los procesos de remediación por metro cuadrado en predios con contaminación de suelos / Costos evitados por remediación en predios afectados y/o Costos evitados por recuperación y restauración del suelo en predios con afectación minera.</w:t>
            </w:r>
          </w:p>
        </w:tc>
        <w:tc>
          <w:tcPr>
            <w:tcW w:w="1417" w:type="dxa"/>
            <w:tcBorders>
              <w:top w:val="nil"/>
              <w:left w:val="nil"/>
              <w:bottom w:val="single" w:sz="4" w:space="0" w:color="auto"/>
              <w:right w:val="single" w:sz="4" w:space="0" w:color="auto"/>
            </w:tcBorders>
            <w:shd w:val="clear" w:color="auto" w:fill="auto"/>
            <w:vAlign w:val="center"/>
          </w:tcPr>
          <w:p w14:paraId="4A323487"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sz w:val="20"/>
                <w:lang w:eastAsia="es-CO"/>
              </w:rPr>
              <w:t> Pesos m/cte</w:t>
            </w:r>
          </w:p>
        </w:tc>
        <w:tc>
          <w:tcPr>
            <w:tcW w:w="709" w:type="dxa"/>
            <w:tcBorders>
              <w:top w:val="nil"/>
              <w:left w:val="nil"/>
              <w:bottom w:val="single" w:sz="4" w:space="0" w:color="auto"/>
              <w:right w:val="single" w:sz="4" w:space="0" w:color="auto"/>
            </w:tcBorders>
            <w:shd w:val="clear" w:color="auto" w:fill="auto"/>
            <w:vAlign w:val="center"/>
          </w:tcPr>
          <w:p w14:paraId="0315E9C0"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2635</w:t>
            </w:r>
          </w:p>
        </w:tc>
        <w:tc>
          <w:tcPr>
            <w:tcW w:w="709" w:type="dxa"/>
            <w:tcBorders>
              <w:top w:val="nil"/>
              <w:left w:val="nil"/>
              <w:bottom w:val="single" w:sz="4" w:space="0" w:color="auto"/>
              <w:right w:val="single" w:sz="4" w:space="0" w:color="auto"/>
            </w:tcBorders>
            <w:shd w:val="clear" w:color="auto" w:fill="auto"/>
            <w:vAlign w:val="center"/>
          </w:tcPr>
          <w:p w14:paraId="7AB521E5"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5533</w:t>
            </w:r>
          </w:p>
        </w:tc>
        <w:tc>
          <w:tcPr>
            <w:tcW w:w="709" w:type="dxa"/>
            <w:tcBorders>
              <w:top w:val="nil"/>
              <w:left w:val="nil"/>
              <w:bottom w:val="single" w:sz="4" w:space="0" w:color="auto"/>
              <w:right w:val="single" w:sz="4" w:space="0" w:color="auto"/>
            </w:tcBorders>
            <w:shd w:val="clear" w:color="auto" w:fill="auto"/>
            <w:vAlign w:val="center"/>
          </w:tcPr>
          <w:p w14:paraId="11E24269"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5810</w:t>
            </w:r>
          </w:p>
        </w:tc>
        <w:tc>
          <w:tcPr>
            <w:tcW w:w="708" w:type="dxa"/>
            <w:tcBorders>
              <w:top w:val="nil"/>
              <w:left w:val="nil"/>
              <w:bottom w:val="single" w:sz="4" w:space="0" w:color="auto"/>
              <w:right w:val="single" w:sz="4" w:space="0" w:color="auto"/>
            </w:tcBorders>
            <w:shd w:val="clear" w:color="auto" w:fill="auto"/>
            <w:vAlign w:val="center"/>
          </w:tcPr>
          <w:p w14:paraId="301A760F"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6100</w:t>
            </w:r>
          </w:p>
        </w:tc>
        <w:tc>
          <w:tcPr>
            <w:tcW w:w="709" w:type="dxa"/>
            <w:tcBorders>
              <w:top w:val="nil"/>
              <w:left w:val="nil"/>
              <w:bottom w:val="single" w:sz="4" w:space="0" w:color="auto"/>
              <w:right w:val="single" w:sz="4" w:space="0" w:color="auto"/>
            </w:tcBorders>
            <w:shd w:val="clear" w:color="auto" w:fill="auto"/>
            <w:vAlign w:val="center"/>
          </w:tcPr>
          <w:p w14:paraId="022FF4F8" w14:textId="77777777" w:rsidR="00BD06CF" w:rsidRPr="00606C5D" w:rsidRDefault="00BD06CF" w:rsidP="00AC41A9">
            <w:pPr>
              <w:jc w:val="center"/>
              <w:rPr>
                <w:rFonts w:ascii="Times New Roman" w:hAnsi="Times New Roman"/>
                <w:sz w:val="22"/>
                <w:szCs w:val="22"/>
                <w:lang w:eastAsia="es-CO"/>
              </w:rPr>
            </w:pPr>
            <w:r>
              <w:rPr>
                <w:rFonts w:ascii="Times New Roman" w:hAnsi="Times New Roman"/>
                <w:sz w:val="22"/>
                <w:szCs w:val="22"/>
                <w:lang w:eastAsia="es-CO"/>
              </w:rPr>
              <w:t>3203</w:t>
            </w:r>
          </w:p>
        </w:tc>
        <w:tc>
          <w:tcPr>
            <w:tcW w:w="962" w:type="dxa"/>
            <w:tcBorders>
              <w:top w:val="nil"/>
              <w:left w:val="nil"/>
              <w:bottom w:val="single" w:sz="4" w:space="0" w:color="auto"/>
              <w:right w:val="single" w:sz="4" w:space="0" w:color="auto"/>
            </w:tcBorders>
            <w:shd w:val="clear" w:color="auto" w:fill="auto"/>
            <w:noWrap/>
            <w:vAlign w:val="center"/>
          </w:tcPr>
          <w:p w14:paraId="04D58791" w14:textId="77777777" w:rsidR="00BD06CF" w:rsidRPr="00606C5D" w:rsidRDefault="00BD06CF" w:rsidP="00AC41A9">
            <w:pPr>
              <w:jc w:val="center"/>
              <w:rPr>
                <w:rFonts w:ascii="Calibri" w:hAnsi="Calibri" w:cs="Calibri"/>
                <w:color w:val="000000"/>
                <w:sz w:val="22"/>
                <w:szCs w:val="22"/>
                <w:lang w:eastAsia="es-CO"/>
              </w:rPr>
            </w:pPr>
            <w:r>
              <w:rPr>
                <w:rFonts w:ascii="Calibri" w:hAnsi="Calibri" w:cs="Calibri"/>
                <w:color w:val="000000"/>
                <w:sz w:val="22"/>
                <w:szCs w:val="22"/>
                <w:lang w:eastAsia="es-CO"/>
              </w:rPr>
              <w:t>23281</w:t>
            </w:r>
          </w:p>
        </w:tc>
      </w:tr>
    </w:tbl>
    <w:p w14:paraId="1ADF245E"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- 2020</w:t>
      </w:r>
    </w:p>
    <w:p w14:paraId="7D82E68A" w14:textId="77777777" w:rsidR="00284AC3" w:rsidRDefault="00284AC3" w:rsidP="00284AC3">
      <w:pPr>
        <w:jc w:val="left"/>
        <w:rPr>
          <w:rFonts w:ascii="Times New Roman" w:hAnsi="Times New Roman"/>
          <w:szCs w:val="24"/>
          <w:highlight w:val="yellow"/>
          <w:lang w:eastAsia="es-CO"/>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45CEB5A4" w14:textId="77777777" w:rsidR="00F550E3" w:rsidRPr="0018003D" w:rsidRDefault="00F550E3">
      <w:pPr>
        <w:jc w:val="left"/>
        <w:rPr>
          <w:rFonts w:ascii="Times New Roman" w:hAnsi="Times New Roman"/>
          <w:sz w:val="22"/>
          <w:szCs w:val="22"/>
        </w:rPr>
      </w:pPr>
    </w:p>
    <w:p w14:paraId="1314FDD7" w14:textId="77777777" w:rsidR="00284AC3" w:rsidRDefault="00284AC3" w:rsidP="00284AC3">
      <w:pPr>
        <w:spacing w:before="240"/>
        <w:ind w:right="160"/>
        <w:rPr>
          <w:rFonts w:ascii="Times New Roman" w:hAnsi="Times New Roman"/>
          <w:bCs/>
          <w:szCs w:val="24"/>
        </w:rPr>
      </w:pPr>
      <w:r>
        <w:rPr>
          <w:rFonts w:ascii="Times New Roman" w:hAnsi="Times New Roman"/>
          <w:bCs/>
          <w:szCs w:val="24"/>
        </w:rPr>
        <w:t>El flujo de caja económico reconoce la existencia de factores relacionados con el cambio en el bienestar social con la prestación de los servicios que serán prestados por la Subdirección del Recurso Hídrico y del Suelo.</w:t>
      </w:r>
    </w:p>
    <w:p w14:paraId="275ADD46" w14:textId="77777777" w:rsidR="00284AC3" w:rsidRDefault="00284AC3" w:rsidP="00284AC3">
      <w:pPr>
        <w:jc w:val="center"/>
        <w:rPr>
          <w:rFonts w:ascii="Times New Roman" w:hAnsi="Times New Roman"/>
          <w:sz w:val="22"/>
          <w:szCs w:val="22"/>
          <w:lang w:eastAsia="es-CO"/>
        </w:rPr>
      </w:pPr>
    </w:p>
    <w:p w14:paraId="63E79ACC"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 xml:space="preserve">Tabla </w:t>
      </w:r>
      <w:proofErr w:type="gramStart"/>
      <w:r>
        <w:rPr>
          <w:rFonts w:ascii="Times New Roman" w:hAnsi="Times New Roman"/>
          <w:sz w:val="22"/>
          <w:szCs w:val="22"/>
          <w:lang w:eastAsia="es-CO"/>
        </w:rPr>
        <w:t>21 .</w:t>
      </w:r>
      <w:proofErr w:type="gramEnd"/>
      <w:r>
        <w:rPr>
          <w:rFonts w:ascii="Times New Roman" w:hAnsi="Times New Roman"/>
          <w:sz w:val="22"/>
          <w:szCs w:val="22"/>
          <w:lang w:eastAsia="es-CO"/>
        </w:rPr>
        <w:t xml:space="preserve"> Flujo económico y presupuestal.</w:t>
      </w:r>
    </w:p>
    <w:tbl>
      <w:tblPr>
        <w:tblW w:w="10200" w:type="dxa"/>
        <w:tblInd w:w="-562" w:type="dxa"/>
        <w:tblLayout w:type="fixed"/>
        <w:tblCellMar>
          <w:left w:w="70" w:type="dxa"/>
          <w:right w:w="70" w:type="dxa"/>
        </w:tblCellMar>
        <w:tblLook w:val="04A0" w:firstRow="1" w:lastRow="0" w:firstColumn="1" w:lastColumn="0" w:noHBand="0" w:noVBand="1"/>
      </w:tblPr>
      <w:tblGrid>
        <w:gridCol w:w="1559"/>
        <w:gridCol w:w="1417"/>
        <w:gridCol w:w="1416"/>
        <w:gridCol w:w="1417"/>
        <w:gridCol w:w="1416"/>
        <w:gridCol w:w="1417"/>
        <w:gridCol w:w="1558"/>
      </w:tblGrid>
      <w:tr w:rsidR="00284AC3" w14:paraId="52704094" w14:textId="77777777" w:rsidTr="005D09FE">
        <w:trPr>
          <w:trHeight w:val="406"/>
        </w:trPr>
        <w:tc>
          <w:tcPr>
            <w:tcW w:w="1559" w:type="dxa"/>
            <w:shd w:val="clear" w:color="auto" w:fill="538135" w:themeFill="accent6" w:themeFillShade="BF"/>
            <w:noWrap/>
            <w:vAlign w:val="center"/>
            <w:hideMark/>
          </w:tcPr>
          <w:p w14:paraId="472A722E" w14:textId="77777777" w:rsidR="00284AC3" w:rsidRDefault="00284AC3">
            <w:pPr>
              <w:rPr>
                <w:rFonts w:ascii="Times New Roman" w:hAnsi="Times New Roman"/>
                <w:sz w:val="22"/>
                <w:szCs w:val="22"/>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26B220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2020</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3056626"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12C801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33AECB7"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697F3B5"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2024</w:t>
            </w:r>
          </w:p>
        </w:tc>
        <w:tc>
          <w:tcPr>
            <w:tcW w:w="155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6D4EAE"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TOTAL</w:t>
            </w:r>
          </w:p>
        </w:tc>
      </w:tr>
      <w:tr w:rsidR="00284AC3" w14:paraId="32477686" w14:textId="77777777" w:rsidTr="005D09FE">
        <w:trPr>
          <w:trHeight w:val="406"/>
        </w:trPr>
        <w:tc>
          <w:tcPr>
            <w:tcW w:w="1559" w:type="dxa"/>
            <w:tcBorders>
              <w:top w:val="single" w:sz="4" w:space="0" w:color="auto"/>
              <w:left w:val="single" w:sz="4" w:space="0" w:color="auto"/>
              <w:bottom w:val="single" w:sz="4" w:space="0" w:color="auto"/>
              <w:right w:val="single" w:sz="4" w:space="0" w:color="auto"/>
            </w:tcBorders>
            <w:vAlign w:val="bottom"/>
            <w:hideMark/>
          </w:tcPr>
          <w:p w14:paraId="376A3FAA" w14:textId="77777777" w:rsidR="00284AC3" w:rsidRDefault="00284AC3">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021924B1" w14:textId="04DD92DE"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416" w:type="dxa"/>
            <w:tcBorders>
              <w:top w:val="nil"/>
              <w:left w:val="nil"/>
              <w:bottom w:val="single" w:sz="4" w:space="0" w:color="auto"/>
              <w:right w:val="single" w:sz="4" w:space="0" w:color="auto"/>
            </w:tcBorders>
            <w:noWrap/>
            <w:vAlign w:val="center"/>
            <w:hideMark/>
          </w:tcPr>
          <w:p w14:paraId="19A15C2A" w14:textId="1F739889"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nil"/>
              <w:bottom w:val="single" w:sz="4" w:space="0" w:color="auto"/>
              <w:right w:val="single" w:sz="4" w:space="0" w:color="auto"/>
            </w:tcBorders>
            <w:noWrap/>
            <w:vAlign w:val="center"/>
            <w:hideMark/>
          </w:tcPr>
          <w:p w14:paraId="5E598423" w14:textId="5951C21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6" w:type="dxa"/>
            <w:tcBorders>
              <w:top w:val="single" w:sz="4" w:space="0" w:color="auto"/>
              <w:left w:val="nil"/>
              <w:bottom w:val="single" w:sz="4" w:space="0" w:color="auto"/>
              <w:right w:val="single" w:sz="4" w:space="0" w:color="auto"/>
            </w:tcBorders>
            <w:vAlign w:val="center"/>
            <w:hideMark/>
          </w:tcPr>
          <w:p w14:paraId="2B2F0B22" w14:textId="3A7C41A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single" w:sz="4" w:space="0" w:color="auto"/>
              <w:bottom w:val="single" w:sz="4" w:space="0" w:color="auto"/>
              <w:right w:val="single" w:sz="4" w:space="0" w:color="auto"/>
            </w:tcBorders>
            <w:noWrap/>
            <w:vAlign w:val="center"/>
            <w:hideMark/>
          </w:tcPr>
          <w:p w14:paraId="46CAD7B7" w14:textId="5E13A0CB"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558" w:type="dxa"/>
            <w:tcBorders>
              <w:top w:val="nil"/>
              <w:left w:val="nil"/>
              <w:bottom w:val="single" w:sz="4" w:space="0" w:color="auto"/>
              <w:right w:val="single" w:sz="4" w:space="0" w:color="auto"/>
            </w:tcBorders>
            <w:vAlign w:val="center"/>
            <w:hideMark/>
          </w:tcPr>
          <w:p w14:paraId="6EC26271" w14:textId="177FCAF7" w:rsidR="00284AC3" w:rsidRDefault="005D09FE">
            <w:pPr>
              <w:spacing w:line="256" w:lineRule="auto"/>
              <w:jc w:val="center"/>
              <w:rPr>
                <w:rFonts w:ascii="Times New Roman" w:hAnsi="Times New Roman"/>
                <w:sz w:val="16"/>
                <w:szCs w:val="16"/>
              </w:rPr>
            </w:pPr>
            <w:r>
              <w:rPr>
                <w:rFonts w:ascii="Times New Roman" w:hAnsi="Times New Roman"/>
                <w:sz w:val="16"/>
                <w:szCs w:val="16"/>
              </w:rPr>
              <w:t>$24.592</w:t>
            </w:r>
          </w:p>
        </w:tc>
      </w:tr>
      <w:tr w:rsidR="005D09FE" w14:paraId="7FC731C4"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7A9AB4B0" w14:textId="77777777" w:rsidR="005D09FE" w:rsidRDefault="005D09FE" w:rsidP="005D09FE">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Costos inversión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C12C51E" w14:textId="1F57F6F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w:t>
            </w:r>
            <w:r>
              <w:rPr>
                <w:rFonts w:ascii="Times New Roman" w:hAnsi="Times New Roman"/>
                <w:sz w:val="16"/>
                <w:szCs w:val="16"/>
              </w:rPr>
              <w:t>.</w:t>
            </w:r>
            <w:r w:rsidRPr="00833F63">
              <w:rPr>
                <w:rFonts w:ascii="Times New Roman" w:hAnsi="Times New Roman"/>
                <w:sz w:val="16"/>
                <w:szCs w:val="16"/>
              </w:rPr>
              <w:t>272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720C912" w14:textId="4DFD199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2</w:t>
            </w:r>
            <w:r>
              <w:rPr>
                <w:rFonts w:ascii="Times New Roman" w:hAnsi="Times New Roman"/>
                <w:sz w:val="16"/>
                <w:szCs w:val="16"/>
              </w:rPr>
              <w:t>.</w:t>
            </w:r>
            <w:r w:rsidRPr="00833F63">
              <w:rPr>
                <w:rFonts w:ascii="Times New Roman" w:hAnsi="Times New Roman"/>
                <w:sz w:val="16"/>
                <w:szCs w:val="16"/>
              </w:rPr>
              <w:t>289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FCE81B7" w14:textId="53FBDF7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717</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05342F1" w14:textId="55A62EAD"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884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53BDBE2" w14:textId="6359980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1942</w:t>
            </w:r>
          </w:p>
        </w:tc>
        <w:tc>
          <w:tcPr>
            <w:tcW w:w="1558" w:type="dxa"/>
            <w:tcBorders>
              <w:top w:val="nil"/>
              <w:left w:val="nil"/>
              <w:bottom w:val="single" w:sz="4" w:space="0" w:color="auto"/>
              <w:right w:val="single" w:sz="4" w:space="0" w:color="auto"/>
            </w:tcBorders>
            <w:vAlign w:val="center"/>
            <w:hideMark/>
          </w:tcPr>
          <w:p w14:paraId="446F601E" w14:textId="1B92295E"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$ 13.104</w:t>
            </w:r>
          </w:p>
        </w:tc>
      </w:tr>
      <w:tr w:rsidR="00284AC3" w14:paraId="203F303F"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17CD285D" w14:textId="77777777" w:rsidR="00284AC3" w:rsidRDefault="00284AC3">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lastRenderedPageBreak/>
              <w:t>Flujo neto de caja</w:t>
            </w:r>
          </w:p>
        </w:tc>
        <w:tc>
          <w:tcPr>
            <w:tcW w:w="1417" w:type="dxa"/>
            <w:tcBorders>
              <w:top w:val="nil"/>
              <w:left w:val="nil"/>
              <w:bottom w:val="single" w:sz="4" w:space="0" w:color="auto"/>
              <w:right w:val="single" w:sz="4" w:space="0" w:color="auto"/>
            </w:tcBorders>
            <w:noWrap/>
            <w:vAlign w:val="center"/>
            <w:hideMark/>
          </w:tcPr>
          <w:p w14:paraId="34922A83" w14:textId="614F7AB2" w:rsidR="00284AC3" w:rsidRDefault="005D09FE">
            <w:pPr>
              <w:spacing w:line="256" w:lineRule="auto"/>
              <w:jc w:val="center"/>
              <w:rPr>
                <w:rFonts w:ascii="Times New Roman" w:hAnsi="Times New Roman"/>
                <w:sz w:val="16"/>
                <w:szCs w:val="16"/>
              </w:rPr>
            </w:pPr>
            <w:r>
              <w:rPr>
                <w:rFonts w:ascii="Times New Roman" w:hAnsi="Times New Roman"/>
                <w:sz w:val="16"/>
                <w:szCs w:val="16"/>
              </w:rPr>
              <w:t>$ 1.802</w:t>
            </w:r>
          </w:p>
        </w:tc>
        <w:tc>
          <w:tcPr>
            <w:tcW w:w="1416" w:type="dxa"/>
            <w:tcBorders>
              <w:top w:val="nil"/>
              <w:left w:val="nil"/>
              <w:bottom w:val="single" w:sz="4" w:space="0" w:color="auto"/>
              <w:right w:val="single" w:sz="4" w:space="0" w:color="auto"/>
            </w:tcBorders>
            <w:noWrap/>
            <w:vAlign w:val="center"/>
            <w:hideMark/>
          </w:tcPr>
          <w:p w14:paraId="6675BC4E" w14:textId="74EEEF75" w:rsidR="00284AC3" w:rsidRDefault="005D09FE">
            <w:pPr>
              <w:spacing w:line="256" w:lineRule="auto"/>
              <w:jc w:val="center"/>
              <w:rPr>
                <w:rFonts w:ascii="Times New Roman" w:hAnsi="Times New Roman"/>
                <w:sz w:val="16"/>
                <w:szCs w:val="16"/>
              </w:rPr>
            </w:pPr>
            <w:r>
              <w:rPr>
                <w:rFonts w:ascii="Times New Roman" w:hAnsi="Times New Roman"/>
                <w:sz w:val="16"/>
                <w:szCs w:val="16"/>
              </w:rPr>
              <w:t>$ 2.963</w:t>
            </w:r>
          </w:p>
        </w:tc>
        <w:tc>
          <w:tcPr>
            <w:tcW w:w="1417" w:type="dxa"/>
            <w:tcBorders>
              <w:top w:val="nil"/>
              <w:left w:val="nil"/>
              <w:bottom w:val="single" w:sz="4" w:space="0" w:color="auto"/>
              <w:right w:val="single" w:sz="4" w:space="0" w:color="auto"/>
            </w:tcBorders>
            <w:noWrap/>
            <w:vAlign w:val="center"/>
            <w:hideMark/>
          </w:tcPr>
          <w:p w14:paraId="4DC5D892" w14:textId="03D54801" w:rsidR="00284AC3" w:rsidRDefault="005D09FE">
            <w:pPr>
              <w:spacing w:line="256" w:lineRule="auto"/>
              <w:jc w:val="center"/>
              <w:rPr>
                <w:rFonts w:ascii="Times New Roman" w:hAnsi="Times New Roman"/>
                <w:sz w:val="16"/>
                <w:szCs w:val="16"/>
              </w:rPr>
            </w:pPr>
            <w:r>
              <w:rPr>
                <w:rFonts w:ascii="Times New Roman" w:hAnsi="Times New Roman"/>
                <w:sz w:val="16"/>
                <w:szCs w:val="16"/>
              </w:rPr>
              <w:t>$ 2.431</w:t>
            </w:r>
          </w:p>
        </w:tc>
        <w:tc>
          <w:tcPr>
            <w:tcW w:w="1416" w:type="dxa"/>
            <w:tcBorders>
              <w:top w:val="single" w:sz="4" w:space="0" w:color="auto"/>
              <w:left w:val="nil"/>
              <w:bottom w:val="single" w:sz="4" w:space="0" w:color="auto"/>
              <w:right w:val="single" w:sz="4" w:space="0" w:color="auto"/>
            </w:tcBorders>
            <w:vAlign w:val="center"/>
            <w:hideMark/>
          </w:tcPr>
          <w:p w14:paraId="3A1249E2" w14:textId="23F58545" w:rsidR="00284AC3" w:rsidRDefault="005D09FE">
            <w:pPr>
              <w:spacing w:line="256" w:lineRule="auto"/>
              <w:jc w:val="center"/>
              <w:rPr>
                <w:rFonts w:ascii="Times New Roman" w:hAnsi="Times New Roman"/>
                <w:sz w:val="16"/>
                <w:szCs w:val="16"/>
              </w:rPr>
            </w:pPr>
            <w:r>
              <w:rPr>
                <w:rFonts w:ascii="Times New Roman" w:hAnsi="Times New Roman"/>
                <w:sz w:val="16"/>
                <w:szCs w:val="16"/>
              </w:rPr>
              <w:t>$ 2.263</w:t>
            </w:r>
          </w:p>
        </w:tc>
        <w:tc>
          <w:tcPr>
            <w:tcW w:w="1417" w:type="dxa"/>
            <w:tcBorders>
              <w:top w:val="nil"/>
              <w:left w:val="single" w:sz="4" w:space="0" w:color="auto"/>
              <w:bottom w:val="single" w:sz="4" w:space="0" w:color="auto"/>
              <w:right w:val="single" w:sz="4" w:space="0" w:color="auto"/>
            </w:tcBorders>
            <w:noWrap/>
            <w:vAlign w:val="center"/>
            <w:hideMark/>
          </w:tcPr>
          <w:p w14:paraId="6AA92BB4" w14:textId="1BF7C6DF" w:rsidR="00284AC3" w:rsidRDefault="005D09FE">
            <w:pPr>
              <w:spacing w:line="256" w:lineRule="auto"/>
              <w:jc w:val="center"/>
              <w:rPr>
                <w:rFonts w:ascii="Times New Roman" w:hAnsi="Times New Roman"/>
                <w:sz w:val="16"/>
                <w:szCs w:val="16"/>
              </w:rPr>
            </w:pPr>
            <w:r>
              <w:rPr>
                <w:rFonts w:ascii="Times New Roman" w:hAnsi="Times New Roman"/>
                <w:sz w:val="16"/>
                <w:szCs w:val="16"/>
              </w:rPr>
              <w:t>$ 1.132</w:t>
            </w:r>
          </w:p>
        </w:tc>
        <w:tc>
          <w:tcPr>
            <w:tcW w:w="1558" w:type="dxa"/>
            <w:tcBorders>
              <w:top w:val="nil"/>
              <w:left w:val="nil"/>
              <w:bottom w:val="single" w:sz="4" w:space="0" w:color="auto"/>
              <w:right w:val="single" w:sz="4" w:space="0" w:color="auto"/>
            </w:tcBorders>
            <w:vAlign w:val="center"/>
            <w:hideMark/>
          </w:tcPr>
          <w:p w14:paraId="76FE98F7" w14:textId="731AC5E7" w:rsidR="00284AC3" w:rsidRDefault="005D09FE">
            <w:pPr>
              <w:spacing w:line="256" w:lineRule="auto"/>
              <w:jc w:val="center"/>
              <w:rPr>
                <w:rFonts w:ascii="Times New Roman" w:hAnsi="Times New Roman"/>
                <w:sz w:val="16"/>
                <w:szCs w:val="16"/>
              </w:rPr>
            </w:pPr>
            <w:r>
              <w:rPr>
                <w:rFonts w:ascii="Times New Roman" w:hAnsi="Times New Roman"/>
                <w:sz w:val="16"/>
                <w:szCs w:val="16"/>
              </w:rPr>
              <w:t>$ 10.592</w:t>
            </w:r>
          </w:p>
        </w:tc>
      </w:tr>
    </w:tbl>
    <w:p w14:paraId="332AA5BF"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Ficha MGA 2020</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68700285" w14:textId="77777777" w:rsidR="00284AC3" w:rsidRDefault="00284AC3" w:rsidP="00284AC3">
      <w:pPr>
        <w:spacing w:line="276" w:lineRule="auto"/>
        <w:rPr>
          <w:rFonts w:ascii="Times New Roman" w:hAnsi="Times New Roman"/>
          <w:iCs/>
        </w:rPr>
      </w:pPr>
      <w:r>
        <w:rPr>
          <w:rFonts w:ascii="Times New Roman" w:hAnsi="Times New Roman"/>
          <w:bCs/>
          <w:i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Pr>
          <w:rFonts w:ascii="Times New Roman" w:hAnsi="Times New Roman"/>
          <w:iCs/>
        </w:rPr>
        <w:t xml:space="preserve">Relación Costo Beneficio (BC) presentados a continuación: </w:t>
      </w:r>
    </w:p>
    <w:p w14:paraId="2C1DA2E7" w14:textId="77777777" w:rsidR="00284AC3" w:rsidRDefault="00284AC3" w:rsidP="00284AC3">
      <w:pPr>
        <w:spacing w:line="276" w:lineRule="auto"/>
        <w:rPr>
          <w:rFonts w:ascii="Times New Roman" w:hAnsi="Times New Roman"/>
          <w:i/>
        </w:rPr>
      </w:pPr>
    </w:p>
    <w:p w14:paraId="07FF31B1" w14:textId="77777777" w:rsidR="00284AC3" w:rsidRDefault="00284AC3" w:rsidP="00284AC3">
      <w:pPr>
        <w:spacing w:line="276" w:lineRule="auto"/>
        <w:jc w:val="center"/>
        <w:rPr>
          <w:rFonts w:ascii="Times New Roman" w:hAnsi="Times New Roman"/>
        </w:rPr>
      </w:pPr>
      <w:r>
        <w:rPr>
          <w:rFonts w:ascii="Times New Roman" w:hAnsi="Times New Roman"/>
          <w:sz w:val="22"/>
          <w:szCs w:val="22"/>
        </w:rPr>
        <w:t>Tabla 22. Indicadores de evaluación económica de la alternativa</w:t>
      </w:r>
    </w:p>
    <w:tbl>
      <w:tblPr>
        <w:tblW w:w="9210" w:type="dxa"/>
        <w:jc w:val="center"/>
        <w:tblLayout w:type="fixed"/>
        <w:tblCellMar>
          <w:left w:w="70" w:type="dxa"/>
          <w:right w:w="70" w:type="dxa"/>
        </w:tblCellMar>
        <w:tblLook w:val="04A0" w:firstRow="1" w:lastRow="0" w:firstColumn="1" w:lastColumn="0" w:noHBand="0" w:noVBand="1"/>
      </w:tblPr>
      <w:tblGrid>
        <w:gridCol w:w="3098"/>
        <w:gridCol w:w="42"/>
        <w:gridCol w:w="1110"/>
        <w:gridCol w:w="2007"/>
        <w:gridCol w:w="85"/>
        <w:gridCol w:w="2868"/>
      </w:tblGrid>
      <w:tr w:rsidR="00284AC3" w14:paraId="08ACEEFE" w14:textId="77777777" w:rsidTr="00284AC3">
        <w:trPr>
          <w:trHeight w:val="403"/>
          <w:jc w:val="center"/>
        </w:trPr>
        <w:tc>
          <w:tcPr>
            <w:tcW w:w="9205"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22087F"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sz w:val="22"/>
                <w:lang w:eastAsia="es-CO"/>
              </w:rPr>
              <w:t>INDICADORES DE RENTABILIDAD</w:t>
            </w:r>
          </w:p>
        </w:tc>
      </w:tr>
      <w:tr w:rsidR="00284AC3" w14:paraId="48516C4C" w14:textId="77777777" w:rsidTr="00284AC3">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D594D9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Neto</w:t>
            </w:r>
          </w:p>
          <w:p w14:paraId="16030A27"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(VPN)</w:t>
            </w:r>
          </w:p>
        </w:tc>
        <w:tc>
          <w:tcPr>
            <w:tcW w:w="3157"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DA941B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Tasa Interna de Retorno</w:t>
            </w:r>
          </w:p>
          <w:p w14:paraId="314B41F5"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 (TIR)</w:t>
            </w:r>
          </w:p>
        </w:tc>
        <w:tc>
          <w:tcPr>
            <w:tcW w:w="2950" w:type="dxa"/>
            <w:gridSpan w:val="2"/>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F2E0F20"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Relación Beneficio Costo </w:t>
            </w:r>
          </w:p>
          <w:p w14:paraId="1506FE2B"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(RBC)</w:t>
            </w:r>
          </w:p>
        </w:tc>
      </w:tr>
      <w:tr w:rsidR="00284AC3" w14:paraId="1E9422E3" w14:textId="77777777" w:rsidTr="00284AC3">
        <w:trPr>
          <w:trHeight w:val="478"/>
          <w:jc w:val="center"/>
        </w:trPr>
        <w:tc>
          <w:tcPr>
            <w:tcW w:w="3097" w:type="dxa"/>
            <w:tcBorders>
              <w:top w:val="single" w:sz="4" w:space="0" w:color="auto"/>
              <w:left w:val="single" w:sz="4" w:space="0" w:color="auto"/>
              <w:bottom w:val="single" w:sz="4" w:space="0" w:color="auto"/>
              <w:right w:val="single" w:sz="4" w:space="0" w:color="auto"/>
            </w:tcBorders>
            <w:vAlign w:val="center"/>
            <w:hideMark/>
          </w:tcPr>
          <w:p w14:paraId="76B46DAF"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$2.508.319.272,14</w:t>
            </w:r>
          </w:p>
        </w:tc>
        <w:tc>
          <w:tcPr>
            <w:tcW w:w="3157" w:type="dxa"/>
            <w:gridSpan w:val="3"/>
            <w:tcBorders>
              <w:top w:val="single" w:sz="4" w:space="0" w:color="auto"/>
              <w:left w:val="nil"/>
              <w:bottom w:val="single" w:sz="4" w:space="0" w:color="auto"/>
              <w:right w:val="single" w:sz="4" w:space="0" w:color="auto"/>
            </w:tcBorders>
            <w:vAlign w:val="center"/>
            <w:hideMark/>
          </w:tcPr>
          <w:p w14:paraId="02E0B6C2"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40,70%</w:t>
            </w:r>
          </w:p>
        </w:tc>
        <w:tc>
          <w:tcPr>
            <w:tcW w:w="2950" w:type="dxa"/>
            <w:gridSpan w:val="2"/>
            <w:tcBorders>
              <w:top w:val="single" w:sz="4" w:space="0" w:color="auto"/>
              <w:left w:val="nil"/>
              <w:bottom w:val="single" w:sz="4" w:space="0" w:color="auto"/>
              <w:right w:val="single" w:sz="4" w:space="0" w:color="auto"/>
            </w:tcBorders>
            <w:noWrap/>
            <w:vAlign w:val="center"/>
            <w:hideMark/>
          </w:tcPr>
          <w:p w14:paraId="01CFDE69"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1,23</w:t>
            </w:r>
          </w:p>
        </w:tc>
      </w:tr>
      <w:tr w:rsidR="00284AC3" w14:paraId="2AD26AA7" w14:textId="77777777" w:rsidTr="00284AC3">
        <w:trPr>
          <w:gridAfter w:val="3"/>
          <w:wAfter w:w="4957" w:type="dxa"/>
          <w:trHeight w:val="454"/>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40B268B" w14:textId="77777777" w:rsidR="00284AC3" w:rsidRDefault="00284AC3">
            <w:pPr>
              <w:spacing w:line="256" w:lineRule="auto"/>
              <w:jc w:val="center"/>
              <w:rPr>
                <w:rFonts w:ascii="Times New Roman" w:hAnsi="Times New Roman"/>
                <w:b/>
                <w:color w:val="FFFFFF" w:themeColor="background1"/>
                <w:lang w:eastAsia="es-CO"/>
              </w:rPr>
            </w:pPr>
            <w:r>
              <w:rPr>
                <w:rFonts w:ascii="Times New Roman" w:hAnsi="Times New Roman"/>
                <w:b/>
                <w:color w:val="FFFFFF" w:themeColor="background1"/>
                <w:sz w:val="22"/>
                <w:lang w:eastAsia="es-CO"/>
              </w:rPr>
              <w:t>INDICADOR DE COSTO - EFICIENCIA</w:t>
            </w:r>
          </w:p>
        </w:tc>
      </w:tr>
      <w:tr w:rsidR="00284AC3" w14:paraId="24240C34" w14:textId="77777777" w:rsidTr="00284AC3">
        <w:trPr>
          <w:gridAfter w:val="3"/>
          <w:wAfter w:w="4957" w:type="dxa"/>
          <w:trHeight w:val="201"/>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525F6F"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por Beneficiario</w:t>
            </w:r>
          </w:p>
        </w:tc>
      </w:tr>
      <w:tr w:rsidR="00284AC3" w14:paraId="6FABDFD3" w14:textId="77777777" w:rsidTr="00284AC3">
        <w:trPr>
          <w:gridAfter w:val="3"/>
          <w:wAfter w:w="4957" w:type="dxa"/>
          <w:trHeight w:val="484"/>
          <w:jc w:val="center"/>
        </w:trPr>
        <w:tc>
          <w:tcPr>
            <w:tcW w:w="4248" w:type="dxa"/>
            <w:gridSpan w:val="3"/>
            <w:tcBorders>
              <w:top w:val="single" w:sz="4" w:space="0" w:color="auto"/>
              <w:left w:val="single" w:sz="4" w:space="0" w:color="auto"/>
              <w:bottom w:val="single" w:sz="4" w:space="0" w:color="auto"/>
              <w:right w:val="single" w:sz="4" w:space="0" w:color="auto"/>
            </w:tcBorders>
            <w:vAlign w:val="center"/>
            <w:hideMark/>
          </w:tcPr>
          <w:p w14:paraId="15F4E96E"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$1.397,17</w:t>
            </w:r>
          </w:p>
        </w:tc>
      </w:tr>
      <w:tr w:rsidR="00284AC3" w14:paraId="08F3E858" w14:textId="77777777" w:rsidTr="00284AC3">
        <w:trPr>
          <w:gridAfter w:val="1"/>
          <w:wAfter w:w="2866" w:type="dxa"/>
          <w:trHeight w:val="201"/>
          <w:jc w:val="center"/>
        </w:trPr>
        <w:tc>
          <w:tcPr>
            <w:tcW w:w="633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FB68AB4"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INDICADORES DE COSTO MÍNIMO </w:t>
            </w:r>
          </w:p>
        </w:tc>
      </w:tr>
      <w:tr w:rsidR="00284AC3" w14:paraId="46E23AE0" w14:textId="77777777" w:rsidTr="00284AC3">
        <w:trPr>
          <w:gridAfter w:val="1"/>
          <w:wAfter w:w="2866" w:type="dxa"/>
          <w:trHeight w:val="201"/>
          <w:jc w:val="center"/>
        </w:trPr>
        <w:tc>
          <w:tcPr>
            <w:tcW w:w="313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025405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de los costos</w:t>
            </w:r>
          </w:p>
        </w:tc>
        <w:tc>
          <w:tcPr>
            <w:tcW w:w="3200"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0228202"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anual equivalente (cae)</w:t>
            </w:r>
          </w:p>
        </w:tc>
      </w:tr>
      <w:tr w:rsidR="00284AC3" w14:paraId="7EC3B7C2" w14:textId="77777777" w:rsidTr="00284AC3">
        <w:trPr>
          <w:gridAfter w:val="1"/>
          <w:wAfter w:w="2866" w:type="dxa"/>
          <w:trHeight w:val="484"/>
          <w:jc w:val="center"/>
        </w:trPr>
        <w:tc>
          <w:tcPr>
            <w:tcW w:w="3139" w:type="dxa"/>
            <w:gridSpan w:val="2"/>
            <w:tcBorders>
              <w:top w:val="single" w:sz="4" w:space="0" w:color="auto"/>
              <w:left w:val="single" w:sz="4" w:space="0" w:color="auto"/>
              <w:bottom w:val="single" w:sz="4" w:space="0" w:color="auto"/>
              <w:right w:val="single" w:sz="4" w:space="0" w:color="auto"/>
            </w:tcBorders>
            <w:vAlign w:val="center"/>
            <w:hideMark/>
          </w:tcPr>
          <w:p w14:paraId="6FF98D66" w14:textId="77777777" w:rsidR="00284AC3" w:rsidRDefault="00284AC3">
            <w:pPr>
              <w:spacing w:line="256" w:lineRule="auto"/>
              <w:jc w:val="center"/>
              <w:rPr>
                <w:rFonts w:ascii="Times New Roman" w:hAnsi="Times New Roman"/>
                <w:sz w:val="20"/>
              </w:rPr>
            </w:pPr>
            <w:r>
              <w:rPr>
                <w:rFonts w:ascii="Times New Roman" w:hAnsi="Times New Roman"/>
                <w:sz w:val="20"/>
              </w:rPr>
              <w:t>$10.754.151.034,85</w:t>
            </w:r>
          </w:p>
        </w:tc>
        <w:tc>
          <w:tcPr>
            <w:tcW w:w="3200" w:type="dxa"/>
            <w:gridSpan w:val="3"/>
            <w:tcBorders>
              <w:top w:val="single" w:sz="4" w:space="0" w:color="auto"/>
              <w:left w:val="nil"/>
              <w:bottom w:val="single" w:sz="4" w:space="0" w:color="auto"/>
              <w:right w:val="single" w:sz="4" w:space="0" w:color="auto"/>
            </w:tcBorders>
            <w:vAlign w:val="center"/>
            <w:hideMark/>
          </w:tcPr>
          <w:p w14:paraId="53B26B1A" w14:textId="77777777" w:rsidR="00284AC3" w:rsidRDefault="00284AC3">
            <w:pPr>
              <w:spacing w:line="256" w:lineRule="auto"/>
              <w:jc w:val="center"/>
              <w:rPr>
                <w:rFonts w:ascii="Times New Roman" w:hAnsi="Times New Roman"/>
                <w:sz w:val="20"/>
              </w:rPr>
            </w:pPr>
            <w:r>
              <w:rPr>
                <w:rFonts w:ascii="Times New Roman" w:hAnsi="Times New Roman"/>
                <w:sz w:val="20"/>
              </w:rPr>
              <w:t>$610.087.757,00</w:t>
            </w:r>
          </w:p>
        </w:tc>
      </w:tr>
    </w:tbl>
    <w:p w14:paraId="356D7C39" w14:textId="77777777" w:rsidR="00284AC3" w:rsidRDefault="00284AC3" w:rsidP="00284AC3">
      <w:pPr>
        <w:jc w:val="center"/>
        <w:rPr>
          <w:rFonts w:ascii="Times New Roman" w:hAnsi="Times New Roman"/>
          <w:szCs w:val="24"/>
          <w:lang w:eastAsia="es-CO"/>
        </w:rPr>
      </w:pPr>
      <w:r>
        <w:rPr>
          <w:rFonts w:ascii="Times New Roman" w:hAnsi="Times New Roman"/>
          <w:b/>
          <w:sz w:val="18"/>
        </w:rPr>
        <w:t xml:space="preserve">Fuente: </w:t>
      </w:r>
      <w:r>
        <w:rPr>
          <w:rFonts w:ascii="Times New Roman" w:hAnsi="Times New Roman"/>
          <w:sz w:val="18"/>
        </w:rPr>
        <w:t>Cálculos herramienta MGA.</w:t>
      </w:r>
    </w:p>
    <w:p w14:paraId="44435C2A" w14:textId="72A050CE" w:rsidR="00284AC3" w:rsidRDefault="00284AC3" w:rsidP="00284AC3">
      <w:pPr>
        <w:jc w:val="left"/>
        <w:rPr>
          <w:rFonts w:ascii="Times New Roman" w:hAnsi="Times New Roman"/>
          <w:szCs w:val="24"/>
          <w:highlight w:val="red"/>
          <w:lang w:eastAsia="es-CO"/>
        </w:rPr>
      </w:pPr>
    </w:p>
    <w:p w14:paraId="0B48F33D" w14:textId="77777777" w:rsidR="00BD06CF" w:rsidRDefault="00BD06CF" w:rsidP="00284AC3">
      <w:pPr>
        <w:jc w:val="left"/>
        <w:rPr>
          <w:rFonts w:ascii="Times New Roman" w:hAnsi="Times New Roman"/>
          <w:szCs w:val="24"/>
          <w:highlight w:val="red"/>
          <w:lang w:eastAsia="es-CO"/>
        </w:rPr>
      </w:pPr>
    </w:p>
    <w:p w14:paraId="12256799" w14:textId="48B8CFD4" w:rsidR="00BD06CF" w:rsidRPr="00BD06CF" w:rsidRDefault="00BD06CF"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BD06CF">
        <w:rPr>
          <w:rFonts w:ascii="Times New Roman" w:hAnsi="Times New Roman"/>
          <w:b/>
          <w:color w:val="000000"/>
          <w:sz w:val="28"/>
          <w:szCs w:val="22"/>
        </w:rPr>
        <w:t>Indicadores y Decisión</w:t>
      </w:r>
    </w:p>
    <w:p w14:paraId="4004131A" w14:textId="77777777" w:rsidR="00BD06CF" w:rsidRDefault="00BD06CF" w:rsidP="00BD06CF">
      <w:pPr>
        <w:pBdr>
          <w:top w:val="nil"/>
          <w:left w:val="nil"/>
          <w:bottom w:val="nil"/>
          <w:right w:val="nil"/>
          <w:between w:val="nil"/>
        </w:pBdr>
        <w:jc w:val="left"/>
        <w:rPr>
          <w:rFonts w:ascii="Times New Roman" w:hAnsi="Times New Roman"/>
          <w:b/>
          <w:color w:val="000000"/>
          <w:sz w:val="22"/>
          <w:szCs w:val="22"/>
        </w:rPr>
      </w:pPr>
    </w:p>
    <w:p w14:paraId="5DF4F95F" w14:textId="77777777" w:rsidR="00BD06CF" w:rsidRPr="00AC41A9" w:rsidRDefault="00BD06CF" w:rsidP="00BD06CF">
      <w:pPr>
        <w:contextualSpacing/>
        <w:jc w:val="left"/>
        <w:rPr>
          <w:rFonts w:ascii="Times New Roman" w:hAnsi="Times New Roman"/>
          <w:szCs w:val="24"/>
          <w:lang w:eastAsia="es-CO"/>
        </w:rPr>
      </w:pPr>
      <w:r w:rsidRPr="00AC41A9">
        <w:rPr>
          <w:rFonts w:ascii="Times New Roman" w:hAnsi="Times New Roman"/>
          <w:szCs w:val="24"/>
          <w:lang w:eastAsia="es-CO"/>
        </w:rPr>
        <w:t xml:space="preserve">Toda vez que se evidencia una TIR de </w:t>
      </w:r>
      <w:r w:rsidRPr="003D444B">
        <w:rPr>
          <w:rFonts w:ascii="Times New Roman" w:hAnsi="Times New Roman"/>
          <w:szCs w:val="24"/>
          <w:lang w:eastAsia="es-CO"/>
        </w:rPr>
        <w:t>40</w:t>
      </w:r>
      <w:r w:rsidRPr="00AC41A9">
        <w:rPr>
          <w:rFonts w:ascii="Times New Roman" w:hAnsi="Times New Roman"/>
          <w:szCs w:val="24"/>
          <w:lang w:eastAsia="es-CO"/>
        </w:rPr>
        <w:t>,</w:t>
      </w:r>
      <w:r w:rsidRPr="003D444B">
        <w:rPr>
          <w:rFonts w:ascii="Times New Roman" w:hAnsi="Times New Roman"/>
          <w:szCs w:val="24"/>
          <w:lang w:eastAsia="es-CO"/>
        </w:rPr>
        <w:t>70</w:t>
      </w:r>
      <w:r w:rsidRPr="00AC41A9">
        <w:rPr>
          <w:rFonts w:ascii="Times New Roman" w:hAnsi="Times New Roman"/>
          <w:szCs w:val="24"/>
          <w:lang w:eastAsia="es-CO"/>
        </w:rPr>
        <w:t>% y una RBC mayor a 1, se puede determinar que la alternativa desarrollada es económicamente adecuada.</w:t>
      </w: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1AE7FE7F" w14:textId="3FBFDE01" w:rsidR="00284AC3" w:rsidRDefault="00284AC3" w:rsidP="00284AC3">
      <w:pPr>
        <w:pStyle w:val="Prrafodelista"/>
        <w:jc w:val="center"/>
        <w:rPr>
          <w:rFonts w:ascii="Times New Roman" w:hAnsi="Times New Roman"/>
          <w:sz w:val="22"/>
          <w:szCs w:val="22"/>
        </w:rPr>
      </w:pPr>
      <w:r>
        <w:rPr>
          <w:rFonts w:ascii="Times New Roman" w:hAnsi="Times New Roman"/>
          <w:sz w:val="22"/>
          <w:szCs w:val="22"/>
        </w:rPr>
        <w:t>Tabla 23. Costos por línea de acción.</w:t>
      </w:r>
    </w:p>
    <w:p w14:paraId="3275D4C8" w14:textId="77777777" w:rsidR="00284AC3" w:rsidRPr="00833F63" w:rsidRDefault="00284AC3" w:rsidP="00284AC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8"/>
        <w:gridCol w:w="704"/>
        <w:gridCol w:w="580"/>
        <w:gridCol w:w="869"/>
        <w:gridCol w:w="705"/>
        <w:gridCol w:w="622"/>
        <w:gridCol w:w="911"/>
      </w:tblGrid>
      <w:tr w:rsidR="00B935D8" w14:paraId="1BDE44AC" w14:textId="77777777" w:rsidTr="00B935D8">
        <w:trPr>
          <w:trHeight w:val="330"/>
          <w:tblHeader/>
          <w:jc w:val="center"/>
        </w:trPr>
        <w:tc>
          <w:tcPr>
            <w:tcW w:w="2465" w:type="pct"/>
            <w:shd w:val="clear" w:color="auto" w:fill="538135" w:themeFill="accent6" w:themeFillShade="BF"/>
            <w:hideMark/>
          </w:tcPr>
          <w:p w14:paraId="511B147E" w14:textId="77777777" w:rsidR="00B935D8" w:rsidRDefault="00B935D8" w:rsidP="00284AC3">
            <w:pPr>
              <w:spacing w:line="256" w:lineRule="auto"/>
              <w:jc w:val="center"/>
              <w:rPr>
                <w:rFonts w:ascii="Times New Roman" w:hAnsi="Times New Roman"/>
                <w:b/>
                <w:bCs/>
                <w:color w:val="FFFFFF"/>
                <w:sz w:val="22"/>
                <w:szCs w:val="22"/>
              </w:rPr>
            </w:pPr>
            <w:r>
              <w:rPr>
                <w:rFonts w:ascii="Times New Roman" w:hAnsi="Times New Roman"/>
                <w:b/>
                <w:bCs/>
                <w:color w:val="FFFFFF"/>
                <w:sz w:val="22"/>
                <w:szCs w:val="22"/>
              </w:rPr>
              <w:t>LINEAS DE ACCION (COMPONENTES)</w:t>
            </w:r>
          </w:p>
        </w:tc>
        <w:tc>
          <w:tcPr>
            <w:tcW w:w="407" w:type="pct"/>
            <w:shd w:val="clear" w:color="auto" w:fill="538135" w:themeFill="accent6" w:themeFillShade="BF"/>
            <w:vAlign w:val="center"/>
            <w:hideMark/>
          </w:tcPr>
          <w:p w14:paraId="16EE151F"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2020</w:t>
            </w:r>
          </w:p>
        </w:tc>
        <w:tc>
          <w:tcPr>
            <w:tcW w:w="335" w:type="pct"/>
            <w:shd w:val="clear" w:color="auto" w:fill="538135" w:themeFill="accent6" w:themeFillShade="BF"/>
            <w:vAlign w:val="center"/>
            <w:hideMark/>
          </w:tcPr>
          <w:p w14:paraId="46ACF697"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2021</w:t>
            </w:r>
          </w:p>
        </w:tc>
        <w:tc>
          <w:tcPr>
            <w:tcW w:w="502" w:type="pct"/>
            <w:shd w:val="clear" w:color="auto" w:fill="538135" w:themeFill="accent6" w:themeFillShade="BF"/>
            <w:vAlign w:val="center"/>
            <w:hideMark/>
          </w:tcPr>
          <w:p w14:paraId="747CDEC3" w14:textId="6A816354"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2022</w:t>
            </w:r>
          </w:p>
        </w:tc>
        <w:tc>
          <w:tcPr>
            <w:tcW w:w="407" w:type="pct"/>
            <w:shd w:val="clear" w:color="auto" w:fill="538135" w:themeFill="accent6" w:themeFillShade="BF"/>
            <w:vAlign w:val="center"/>
            <w:hideMark/>
          </w:tcPr>
          <w:p w14:paraId="757ACBDC"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2023</w:t>
            </w:r>
          </w:p>
        </w:tc>
        <w:tc>
          <w:tcPr>
            <w:tcW w:w="359" w:type="pct"/>
            <w:shd w:val="clear" w:color="auto" w:fill="538135" w:themeFill="accent6" w:themeFillShade="BF"/>
            <w:vAlign w:val="center"/>
            <w:hideMark/>
          </w:tcPr>
          <w:p w14:paraId="02EB9BDB"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2024</w:t>
            </w:r>
          </w:p>
        </w:tc>
        <w:tc>
          <w:tcPr>
            <w:tcW w:w="526" w:type="pct"/>
            <w:shd w:val="clear" w:color="auto" w:fill="538135" w:themeFill="accent6" w:themeFillShade="BF"/>
            <w:vAlign w:val="center"/>
            <w:hideMark/>
          </w:tcPr>
          <w:p w14:paraId="23C6C773" w14:textId="77777777" w:rsidR="00B935D8" w:rsidRPr="00EE22F2" w:rsidRDefault="00B935D8" w:rsidP="00284AC3">
            <w:pPr>
              <w:spacing w:line="256" w:lineRule="auto"/>
              <w:jc w:val="center"/>
              <w:rPr>
                <w:rFonts w:ascii="Times New Roman" w:hAnsi="Times New Roman"/>
                <w:b/>
                <w:bCs/>
                <w:color w:val="000000"/>
                <w:sz w:val="22"/>
                <w:szCs w:val="22"/>
                <w:lang w:eastAsia="es-CO"/>
              </w:rPr>
            </w:pPr>
            <w:r w:rsidRPr="00EE22F2">
              <w:rPr>
                <w:rFonts w:ascii="Times New Roman" w:hAnsi="Times New Roman"/>
                <w:b/>
                <w:bCs/>
                <w:color w:val="FFFFFF"/>
                <w:sz w:val="22"/>
                <w:szCs w:val="22"/>
              </w:rPr>
              <w:t>TOTAL</w:t>
            </w:r>
          </w:p>
        </w:tc>
      </w:tr>
      <w:tr w:rsidR="00B935D8" w:rsidRPr="0023714A" w14:paraId="45CAED52" w14:textId="77777777" w:rsidTr="00B935D8">
        <w:trPr>
          <w:trHeight w:val="238"/>
          <w:jc w:val="center"/>
        </w:trPr>
        <w:tc>
          <w:tcPr>
            <w:tcW w:w="2465" w:type="pct"/>
            <w:vAlign w:val="center"/>
          </w:tcPr>
          <w:p w14:paraId="468C60F8" w14:textId="1989CA70" w:rsidR="00B935D8" w:rsidRDefault="00B935D8" w:rsidP="00B935D8">
            <w:pPr>
              <w:spacing w:line="256" w:lineRule="auto"/>
              <w:jc w:val="center"/>
              <w:rPr>
                <w:rFonts w:ascii="Times New Roman" w:hAnsi="Times New Roman"/>
                <w:color w:val="000000"/>
                <w:sz w:val="18"/>
                <w:szCs w:val="18"/>
              </w:rPr>
            </w:pPr>
            <w:r>
              <w:rPr>
                <w:rFonts w:ascii="Times New Roman" w:hAnsi="Times New Roman"/>
                <w:color w:val="000000"/>
                <w:sz w:val="18"/>
                <w:szCs w:val="18"/>
              </w:rPr>
              <w:t>RECURSO SUELO</w:t>
            </w:r>
          </w:p>
        </w:tc>
        <w:tc>
          <w:tcPr>
            <w:tcW w:w="407" w:type="pct"/>
            <w:shd w:val="clear" w:color="auto" w:fill="auto"/>
            <w:vAlign w:val="center"/>
          </w:tcPr>
          <w:p w14:paraId="1270E3A3" w14:textId="5627F89D" w:rsidR="00B935D8" w:rsidRPr="00EE22F2" w:rsidRDefault="00B935D8" w:rsidP="00B935D8">
            <w:pPr>
              <w:spacing w:line="256" w:lineRule="auto"/>
              <w:jc w:val="center"/>
              <w:rPr>
                <w:rFonts w:cs="Arial"/>
                <w:color w:val="000000"/>
                <w:sz w:val="16"/>
                <w:szCs w:val="16"/>
              </w:rPr>
            </w:pPr>
            <w:r w:rsidRPr="00EE22F2">
              <w:rPr>
                <w:rFonts w:cs="Arial"/>
                <w:color w:val="000000"/>
                <w:sz w:val="16"/>
                <w:szCs w:val="16"/>
              </w:rPr>
              <w:t>1247</w:t>
            </w:r>
          </w:p>
        </w:tc>
        <w:tc>
          <w:tcPr>
            <w:tcW w:w="335" w:type="pct"/>
            <w:shd w:val="clear" w:color="auto" w:fill="auto"/>
            <w:vAlign w:val="center"/>
          </w:tcPr>
          <w:p w14:paraId="0FD99A04" w14:textId="56797547" w:rsidR="00B935D8" w:rsidRPr="008C086D" w:rsidRDefault="00B935D8" w:rsidP="00B935D8">
            <w:pPr>
              <w:spacing w:line="256" w:lineRule="auto"/>
              <w:jc w:val="center"/>
              <w:rPr>
                <w:rFonts w:cs="Arial"/>
                <w:color w:val="000000"/>
                <w:sz w:val="16"/>
                <w:szCs w:val="16"/>
              </w:rPr>
            </w:pPr>
            <w:r w:rsidRPr="008C086D">
              <w:rPr>
                <w:rFonts w:cs="Arial"/>
                <w:color w:val="000000"/>
                <w:sz w:val="16"/>
                <w:szCs w:val="16"/>
              </w:rPr>
              <w:t>2258</w:t>
            </w:r>
          </w:p>
        </w:tc>
        <w:tc>
          <w:tcPr>
            <w:tcW w:w="502" w:type="pct"/>
            <w:shd w:val="clear" w:color="auto" w:fill="auto"/>
            <w:vAlign w:val="center"/>
          </w:tcPr>
          <w:p w14:paraId="69402674" w14:textId="66F9BBDC" w:rsidR="00B935D8" w:rsidRPr="008C086D" w:rsidRDefault="00B935D8" w:rsidP="00B935D8">
            <w:pPr>
              <w:spacing w:line="256" w:lineRule="auto"/>
              <w:jc w:val="center"/>
              <w:rPr>
                <w:rFonts w:cs="Arial"/>
                <w:color w:val="000000"/>
                <w:sz w:val="16"/>
                <w:szCs w:val="16"/>
              </w:rPr>
            </w:pPr>
            <w:r w:rsidRPr="008C086D">
              <w:rPr>
                <w:rFonts w:cs="Arial"/>
                <w:color w:val="000000"/>
                <w:sz w:val="16"/>
                <w:szCs w:val="16"/>
              </w:rPr>
              <w:t>1963</w:t>
            </w:r>
          </w:p>
        </w:tc>
        <w:tc>
          <w:tcPr>
            <w:tcW w:w="407" w:type="pct"/>
            <w:shd w:val="clear" w:color="auto" w:fill="auto"/>
            <w:vAlign w:val="center"/>
          </w:tcPr>
          <w:p w14:paraId="5D103057" w14:textId="662E0334" w:rsidR="00B935D8" w:rsidRPr="008C086D" w:rsidRDefault="00B935D8" w:rsidP="00B935D8">
            <w:pPr>
              <w:spacing w:line="256" w:lineRule="auto"/>
              <w:jc w:val="center"/>
              <w:rPr>
                <w:rFonts w:cs="Arial"/>
                <w:color w:val="000000"/>
                <w:sz w:val="16"/>
                <w:szCs w:val="16"/>
              </w:rPr>
            </w:pPr>
            <w:r w:rsidRPr="00336DDA">
              <w:rPr>
                <w:rFonts w:cs="Arial"/>
                <w:color w:val="000000"/>
                <w:sz w:val="16"/>
                <w:szCs w:val="16"/>
              </w:rPr>
              <w:t>3574</w:t>
            </w:r>
          </w:p>
        </w:tc>
        <w:tc>
          <w:tcPr>
            <w:tcW w:w="359" w:type="pct"/>
            <w:shd w:val="clear" w:color="auto" w:fill="auto"/>
            <w:vAlign w:val="center"/>
          </w:tcPr>
          <w:p w14:paraId="511B71A4" w14:textId="25FE11DE" w:rsidR="00B935D8" w:rsidRPr="008C086D" w:rsidRDefault="00B935D8" w:rsidP="00B935D8">
            <w:pPr>
              <w:spacing w:line="256" w:lineRule="auto"/>
              <w:jc w:val="center"/>
              <w:rPr>
                <w:rFonts w:cs="Arial"/>
                <w:color w:val="000000"/>
                <w:sz w:val="16"/>
                <w:szCs w:val="16"/>
              </w:rPr>
            </w:pPr>
            <w:r w:rsidRPr="008C086D">
              <w:rPr>
                <w:rFonts w:cs="Arial"/>
                <w:color w:val="000000"/>
                <w:sz w:val="16"/>
                <w:szCs w:val="16"/>
              </w:rPr>
              <w:t>1942</w:t>
            </w:r>
          </w:p>
        </w:tc>
        <w:tc>
          <w:tcPr>
            <w:tcW w:w="526" w:type="pct"/>
            <w:shd w:val="clear" w:color="auto" w:fill="auto"/>
            <w:vAlign w:val="center"/>
          </w:tcPr>
          <w:p w14:paraId="24E379F8" w14:textId="602EB4A4" w:rsidR="00B935D8" w:rsidRPr="008C086D" w:rsidRDefault="00B935D8" w:rsidP="00B935D8">
            <w:pPr>
              <w:spacing w:line="256" w:lineRule="auto"/>
              <w:jc w:val="center"/>
              <w:rPr>
                <w:rFonts w:ascii="Times New Roman" w:hAnsi="Times New Roman"/>
                <w:b/>
                <w:bCs/>
                <w:sz w:val="18"/>
                <w:szCs w:val="18"/>
              </w:rPr>
            </w:pPr>
            <w:r w:rsidRPr="008C086D">
              <w:rPr>
                <w:rFonts w:ascii="Times New Roman" w:hAnsi="Times New Roman"/>
                <w:b/>
                <w:bCs/>
                <w:sz w:val="18"/>
                <w:szCs w:val="18"/>
              </w:rPr>
              <w:t>10985</w:t>
            </w:r>
          </w:p>
        </w:tc>
      </w:tr>
    </w:tbl>
    <w:p w14:paraId="1681F86F"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E598502" w14:textId="77777777" w:rsidR="00F550E3" w:rsidRDefault="00F550E3" w:rsidP="00284AC3">
      <w:pPr>
        <w:pBdr>
          <w:top w:val="nil"/>
          <w:left w:val="nil"/>
          <w:bottom w:val="nil"/>
          <w:right w:val="nil"/>
          <w:between w:val="nil"/>
        </w:pBdr>
        <w:ind w:left="708"/>
        <w:jc w:val="center"/>
        <w:rPr>
          <w:rFonts w:ascii="Times New Roman" w:hAnsi="Times New Roman"/>
          <w:color w:val="000000"/>
          <w:sz w:val="22"/>
          <w:szCs w:val="22"/>
        </w:rPr>
      </w:pPr>
    </w:p>
    <w:p w14:paraId="62711340" w14:textId="1ADC78CC" w:rsidR="007664AD" w:rsidRPr="00A319F3" w:rsidRDefault="007664AD" w:rsidP="007664AD">
      <w:pPr>
        <w:rPr>
          <w:szCs w:val="24"/>
        </w:rPr>
      </w:pPr>
      <w:r w:rsidRPr="00A319F3">
        <w:rPr>
          <w:szCs w:val="24"/>
        </w:rPr>
        <w:t>.</w:t>
      </w:r>
    </w:p>
    <w:p w14:paraId="61AA1456" w14:textId="255BD9CD" w:rsidR="005D24FC"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72F6755C" w14:textId="77777777" w:rsidR="00284AC3" w:rsidRDefault="00284AC3" w:rsidP="00284AC3">
      <w:pPr>
        <w:pStyle w:val="Prrafodelista"/>
        <w:ind w:left="1068"/>
        <w:contextualSpacing/>
        <w:jc w:val="left"/>
        <w:rPr>
          <w:rFonts w:ascii="Times New Roman" w:hAnsi="Times New Roman"/>
          <w:szCs w:val="24"/>
          <w:highlight w:val="red"/>
          <w:lang w:eastAsia="es-CO"/>
        </w:rPr>
      </w:pPr>
    </w:p>
    <w:p w14:paraId="740147B3" w14:textId="77777777" w:rsidR="00284AC3" w:rsidRDefault="00284AC3" w:rsidP="00284AC3">
      <w:pPr>
        <w:pStyle w:val="Prrafodelista"/>
        <w:jc w:val="center"/>
        <w:rPr>
          <w:rFonts w:ascii="Times New Roman" w:hAnsi="Times New Roman"/>
          <w:sz w:val="20"/>
          <w:highlight w:val="red"/>
          <w:lang w:eastAsia="es-CO"/>
        </w:rPr>
      </w:pPr>
      <w:r>
        <w:rPr>
          <w:rFonts w:ascii="Times New Roman" w:hAnsi="Times New Roman"/>
          <w:sz w:val="22"/>
          <w:szCs w:val="22"/>
        </w:rPr>
        <w:t>Tabla 24. Fuentes de financiación</w:t>
      </w:r>
    </w:p>
    <w:tbl>
      <w:tblPr>
        <w:tblW w:w="9315" w:type="dxa"/>
        <w:tblLayout w:type="fixed"/>
        <w:tblCellMar>
          <w:left w:w="70" w:type="dxa"/>
          <w:right w:w="70" w:type="dxa"/>
        </w:tblCellMar>
        <w:tblLook w:val="04A0" w:firstRow="1" w:lastRow="0" w:firstColumn="1" w:lastColumn="0" w:noHBand="0" w:noVBand="1"/>
      </w:tblPr>
      <w:tblGrid>
        <w:gridCol w:w="2328"/>
        <w:gridCol w:w="2329"/>
        <w:gridCol w:w="2329"/>
        <w:gridCol w:w="2329"/>
      </w:tblGrid>
      <w:tr w:rsidR="00284AC3" w14:paraId="781A13DE" w14:textId="77777777" w:rsidTr="00284AC3">
        <w:trPr>
          <w:trHeight w:val="481"/>
        </w:trPr>
        <w:tc>
          <w:tcPr>
            <w:tcW w:w="232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02892D7"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ETAPA</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F9622D6"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DC358C4"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NOMBRE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A3115B1"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RECURSO</w:t>
            </w:r>
          </w:p>
        </w:tc>
      </w:tr>
      <w:tr w:rsidR="00284AC3" w14:paraId="449AC9F1" w14:textId="77777777" w:rsidTr="00284AC3">
        <w:trPr>
          <w:trHeight w:val="690"/>
        </w:trPr>
        <w:tc>
          <w:tcPr>
            <w:tcW w:w="2327" w:type="dxa"/>
            <w:tcBorders>
              <w:top w:val="single" w:sz="4" w:space="0" w:color="auto"/>
              <w:left w:val="single" w:sz="4" w:space="0" w:color="auto"/>
              <w:bottom w:val="single" w:sz="4" w:space="0" w:color="auto"/>
              <w:right w:val="single" w:sz="4" w:space="0" w:color="auto"/>
            </w:tcBorders>
            <w:vAlign w:val="center"/>
            <w:hideMark/>
          </w:tcPr>
          <w:p w14:paraId="1B79336C"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vAlign w:val="center"/>
            <w:hideMark/>
          </w:tcPr>
          <w:p w14:paraId="13B66ECF"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vAlign w:val="center"/>
            <w:hideMark/>
          </w:tcPr>
          <w:p w14:paraId="58C5B3FE"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Secretaria Distrital de Ambiente</w:t>
            </w:r>
          </w:p>
        </w:tc>
        <w:tc>
          <w:tcPr>
            <w:tcW w:w="2327" w:type="dxa"/>
            <w:tcBorders>
              <w:top w:val="single" w:sz="4" w:space="0" w:color="auto"/>
              <w:left w:val="nil"/>
              <w:bottom w:val="single" w:sz="4" w:space="0" w:color="auto"/>
              <w:right w:val="single" w:sz="4" w:space="0" w:color="auto"/>
            </w:tcBorders>
            <w:vAlign w:val="center"/>
            <w:hideMark/>
          </w:tcPr>
          <w:p w14:paraId="33970B57"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Distrital</w:t>
            </w:r>
          </w:p>
        </w:tc>
      </w:tr>
    </w:tbl>
    <w:p w14:paraId="01420B61"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BD06CF">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125EFC0B"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25 Indicadores de producto</w:t>
      </w:r>
    </w:p>
    <w:tbl>
      <w:tblPr>
        <w:tblW w:w="14170" w:type="dxa"/>
        <w:jc w:val="center"/>
        <w:tblLayout w:type="fixed"/>
        <w:tblLook w:val="0400" w:firstRow="0" w:lastRow="0" w:firstColumn="0" w:lastColumn="0" w:noHBand="0" w:noVBand="1"/>
      </w:tblPr>
      <w:tblGrid>
        <w:gridCol w:w="2263"/>
        <w:gridCol w:w="2835"/>
        <w:gridCol w:w="1701"/>
        <w:gridCol w:w="993"/>
        <w:gridCol w:w="708"/>
        <w:gridCol w:w="709"/>
        <w:gridCol w:w="709"/>
        <w:gridCol w:w="709"/>
        <w:gridCol w:w="708"/>
        <w:gridCol w:w="2835"/>
      </w:tblGrid>
      <w:tr w:rsidR="00FE170E" w:rsidRPr="00284AC3" w14:paraId="29030CAA" w14:textId="77777777" w:rsidTr="00926F48">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PRODUCTO</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MEDIDO A TRAVÉS DE</w:t>
            </w:r>
          </w:p>
        </w:tc>
        <w:tc>
          <w:tcPr>
            <w:tcW w:w="99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 xml:space="preserve">META </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84AC3" w:rsidRDefault="00FE170E" w:rsidP="00A8162D">
            <w:pPr>
              <w:jc w:val="center"/>
              <w:rPr>
                <w:rFonts w:ascii="Times New Roman" w:hAnsi="Times New Roman"/>
                <w:b/>
                <w:color w:val="FFFFFF"/>
                <w:sz w:val="22"/>
                <w:szCs w:val="22"/>
              </w:rPr>
            </w:pPr>
          </w:p>
          <w:p w14:paraId="0A8D6B8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84AC3" w:rsidRDefault="00FE170E" w:rsidP="00A8162D">
            <w:pPr>
              <w:jc w:val="center"/>
              <w:rPr>
                <w:rFonts w:ascii="Times New Roman" w:hAnsi="Times New Roman"/>
                <w:b/>
                <w:color w:val="FFFFFF"/>
                <w:sz w:val="22"/>
                <w:szCs w:val="22"/>
              </w:rPr>
            </w:pPr>
          </w:p>
          <w:p w14:paraId="3CE3870E"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2021</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84AC3" w:rsidRDefault="00FE170E" w:rsidP="00A8162D">
            <w:pPr>
              <w:jc w:val="center"/>
              <w:rPr>
                <w:rFonts w:ascii="Times New Roman" w:hAnsi="Times New Roman"/>
                <w:b/>
                <w:color w:val="FFFFFF"/>
                <w:sz w:val="22"/>
                <w:szCs w:val="22"/>
              </w:rPr>
            </w:pPr>
          </w:p>
          <w:p w14:paraId="27BDD716"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84AC3" w:rsidRDefault="00FE170E" w:rsidP="00A8162D">
            <w:pPr>
              <w:jc w:val="center"/>
              <w:rPr>
                <w:rFonts w:ascii="Times New Roman" w:hAnsi="Times New Roman"/>
                <w:b/>
                <w:color w:val="FFFFFF"/>
                <w:sz w:val="22"/>
                <w:szCs w:val="22"/>
              </w:rPr>
            </w:pPr>
          </w:p>
          <w:p w14:paraId="15A532DA"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84AC3" w:rsidRDefault="00FE170E" w:rsidP="00A8162D">
            <w:pPr>
              <w:jc w:val="center"/>
              <w:rPr>
                <w:rFonts w:ascii="Times New Roman" w:hAnsi="Times New Roman"/>
                <w:b/>
                <w:color w:val="FFFFFF"/>
                <w:sz w:val="22"/>
                <w:szCs w:val="22"/>
              </w:rPr>
            </w:pPr>
          </w:p>
          <w:p w14:paraId="7D169368"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2024</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Fuente de verificación</w:t>
            </w:r>
          </w:p>
        </w:tc>
      </w:tr>
      <w:tr w:rsidR="00284AC3" w:rsidRPr="00284AC3" w14:paraId="7F719C9E" w14:textId="77777777" w:rsidTr="00926F48">
        <w:trPr>
          <w:trHeight w:val="43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509A3C1" w14:textId="1FF71593"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DDC26B1" w14:textId="3D513AFB"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320102100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51C50647" w14:textId="2BAE3DB3" w:rsidR="00284AC3" w:rsidRPr="00284AC3" w:rsidRDefault="00284AC3" w:rsidP="003C5B15">
            <w:pPr>
              <w:jc w:val="center"/>
              <w:rPr>
                <w:rFonts w:ascii="Times New Roman" w:hAnsi="Times New Roman"/>
                <w:sz w:val="20"/>
              </w:rPr>
            </w:pPr>
            <w:r w:rsidRPr="00284AC3">
              <w:rPr>
                <w:rFonts w:ascii="Times New Roman" w:hAnsi="Times New Roman"/>
                <w:sz w:val="20"/>
              </w:rPr>
              <w:t>Número de documentos de instrumento técnico de evaluación control y seguimiento</w:t>
            </w:r>
          </w:p>
        </w:tc>
        <w:tc>
          <w:tcPr>
            <w:tcW w:w="993" w:type="dxa"/>
            <w:tcBorders>
              <w:top w:val="nil"/>
              <w:left w:val="nil"/>
              <w:bottom w:val="single" w:sz="4" w:space="0" w:color="000000"/>
              <w:right w:val="single" w:sz="4" w:space="0" w:color="000000"/>
            </w:tcBorders>
            <w:shd w:val="clear" w:color="auto" w:fill="auto"/>
          </w:tcPr>
          <w:p w14:paraId="0E8EB18E" w14:textId="383E7AD3" w:rsidR="00284AC3" w:rsidRPr="00200819" w:rsidRDefault="00D21B21" w:rsidP="00284AC3">
            <w:pPr>
              <w:jc w:val="center"/>
              <w:rPr>
                <w:rFonts w:ascii="Times New Roman" w:hAnsi="Times New Roman"/>
                <w:sz w:val="20"/>
              </w:rPr>
            </w:pPr>
            <w:r w:rsidRPr="00200819">
              <w:rPr>
                <w:rFonts w:ascii="Times New Roman" w:hAnsi="Times New Roman"/>
                <w:sz w:val="20"/>
              </w:rPr>
              <w:t>513</w:t>
            </w:r>
          </w:p>
        </w:tc>
        <w:tc>
          <w:tcPr>
            <w:tcW w:w="708" w:type="dxa"/>
            <w:tcBorders>
              <w:top w:val="nil"/>
              <w:left w:val="nil"/>
              <w:bottom w:val="single" w:sz="4" w:space="0" w:color="000000"/>
              <w:right w:val="single" w:sz="4" w:space="0" w:color="000000"/>
            </w:tcBorders>
          </w:tcPr>
          <w:p w14:paraId="133E4D4F" w14:textId="4C2A8C03" w:rsidR="00284AC3" w:rsidRPr="00200819" w:rsidRDefault="003C5B15" w:rsidP="00284AC3">
            <w:pPr>
              <w:jc w:val="center"/>
              <w:rPr>
                <w:rFonts w:ascii="Times New Roman" w:hAnsi="Times New Roman"/>
                <w:sz w:val="20"/>
              </w:rPr>
            </w:pPr>
            <w:r w:rsidRPr="00200819">
              <w:rPr>
                <w:rFonts w:ascii="Times New Roman" w:hAnsi="Times New Roman"/>
                <w:sz w:val="20"/>
              </w:rPr>
              <w:t>57</w:t>
            </w:r>
          </w:p>
        </w:tc>
        <w:tc>
          <w:tcPr>
            <w:tcW w:w="709" w:type="dxa"/>
            <w:tcBorders>
              <w:top w:val="nil"/>
              <w:left w:val="nil"/>
              <w:bottom w:val="single" w:sz="4" w:space="0" w:color="000000"/>
              <w:right w:val="single" w:sz="4" w:space="0" w:color="000000"/>
            </w:tcBorders>
          </w:tcPr>
          <w:p w14:paraId="5828966E" w14:textId="4E5CE74C" w:rsidR="00284AC3" w:rsidRPr="00200819" w:rsidRDefault="00D21B21" w:rsidP="00284AC3">
            <w:pPr>
              <w:jc w:val="center"/>
              <w:rPr>
                <w:rFonts w:ascii="Times New Roman" w:hAnsi="Times New Roman"/>
                <w:sz w:val="20"/>
              </w:rPr>
            </w:pPr>
            <w:r w:rsidRPr="00200819">
              <w:rPr>
                <w:rFonts w:ascii="Times New Roman" w:hAnsi="Times New Roman"/>
                <w:sz w:val="20"/>
              </w:rPr>
              <w:t>90</w:t>
            </w:r>
          </w:p>
        </w:tc>
        <w:tc>
          <w:tcPr>
            <w:tcW w:w="709" w:type="dxa"/>
            <w:tcBorders>
              <w:top w:val="nil"/>
              <w:left w:val="nil"/>
              <w:bottom w:val="single" w:sz="4" w:space="0" w:color="000000"/>
              <w:right w:val="single" w:sz="4" w:space="0" w:color="000000"/>
            </w:tcBorders>
          </w:tcPr>
          <w:p w14:paraId="281FE5C9" w14:textId="41A7B080" w:rsidR="00284AC3" w:rsidRPr="00200819" w:rsidRDefault="00F86153" w:rsidP="00284AC3">
            <w:pPr>
              <w:jc w:val="center"/>
              <w:rPr>
                <w:rFonts w:ascii="Times New Roman" w:hAnsi="Times New Roman"/>
                <w:sz w:val="20"/>
              </w:rPr>
            </w:pPr>
            <w:r w:rsidRPr="00200819">
              <w:rPr>
                <w:rFonts w:ascii="Times New Roman" w:hAnsi="Times New Roman"/>
                <w:sz w:val="20"/>
              </w:rPr>
              <w:t>1</w:t>
            </w:r>
            <w:r w:rsidR="00D21B21" w:rsidRPr="00200819">
              <w:rPr>
                <w:rFonts w:ascii="Times New Roman" w:hAnsi="Times New Roman"/>
                <w:sz w:val="20"/>
              </w:rPr>
              <w:t>18</w:t>
            </w:r>
          </w:p>
        </w:tc>
        <w:tc>
          <w:tcPr>
            <w:tcW w:w="709" w:type="dxa"/>
            <w:tcBorders>
              <w:top w:val="nil"/>
              <w:left w:val="nil"/>
              <w:bottom w:val="single" w:sz="4" w:space="0" w:color="000000"/>
              <w:right w:val="single" w:sz="4" w:space="0" w:color="000000"/>
            </w:tcBorders>
          </w:tcPr>
          <w:p w14:paraId="6ABF121B" w14:textId="00FED892" w:rsidR="00284AC3" w:rsidRPr="00200819" w:rsidRDefault="00D21B21" w:rsidP="00284AC3">
            <w:pPr>
              <w:jc w:val="center"/>
              <w:rPr>
                <w:rFonts w:ascii="Times New Roman" w:hAnsi="Times New Roman"/>
                <w:sz w:val="20"/>
              </w:rPr>
            </w:pPr>
            <w:r w:rsidRPr="00200819">
              <w:rPr>
                <w:rFonts w:ascii="Times New Roman" w:hAnsi="Times New Roman"/>
                <w:sz w:val="20"/>
              </w:rPr>
              <w:t>190</w:t>
            </w:r>
          </w:p>
        </w:tc>
        <w:tc>
          <w:tcPr>
            <w:tcW w:w="708" w:type="dxa"/>
            <w:tcBorders>
              <w:top w:val="nil"/>
              <w:left w:val="nil"/>
              <w:bottom w:val="single" w:sz="4" w:space="0" w:color="000000"/>
              <w:right w:val="single" w:sz="4" w:space="0" w:color="000000"/>
            </w:tcBorders>
          </w:tcPr>
          <w:p w14:paraId="3F267797" w14:textId="78FC6561" w:rsidR="00284AC3" w:rsidRPr="00200819" w:rsidRDefault="00D21B21" w:rsidP="00284AC3">
            <w:pPr>
              <w:jc w:val="center"/>
              <w:rPr>
                <w:rFonts w:ascii="Times New Roman" w:hAnsi="Times New Roman"/>
                <w:sz w:val="20"/>
              </w:rPr>
            </w:pPr>
            <w:r w:rsidRPr="00200819">
              <w:rPr>
                <w:rFonts w:ascii="Times New Roman" w:hAnsi="Times New Roman"/>
                <w:sz w:val="20"/>
              </w:rPr>
              <w:t>58</w:t>
            </w:r>
          </w:p>
        </w:tc>
        <w:tc>
          <w:tcPr>
            <w:tcW w:w="2835" w:type="dxa"/>
            <w:tcBorders>
              <w:top w:val="nil"/>
              <w:left w:val="nil"/>
              <w:bottom w:val="single" w:sz="4" w:space="0" w:color="000000"/>
              <w:right w:val="single" w:sz="4" w:space="0" w:color="000000"/>
            </w:tcBorders>
            <w:vAlign w:val="center"/>
          </w:tcPr>
          <w:p w14:paraId="6AD9FC37"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evaluación, control y seguimiento de carácter técnico y jurídico:</w:t>
            </w:r>
          </w:p>
          <w:p w14:paraId="47ADBE45" w14:textId="77777777" w:rsidR="00284AC3" w:rsidRPr="00284AC3" w:rsidRDefault="00284AC3" w:rsidP="00926F48">
            <w:pPr>
              <w:jc w:val="left"/>
              <w:rPr>
                <w:rFonts w:ascii="Times New Roman" w:hAnsi="Times New Roman"/>
                <w:sz w:val="20"/>
              </w:rPr>
            </w:pPr>
          </w:p>
          <w:p w14:paraId="6F69334E" w14:textId="77777777" w:rsidR="00284AC3" w:rsidRPr="00284AC3" w:rsidRDefault="00284AC3" w:rsidP="00926F48">
            <w:pPr>
              <w:jc w:val="left"/>
              <w:rPr>
                <w:rFonts w:ascii="Times New Roman" w:hAnsi="Times New Roman"/>
                <w:sz w:val="20"/>
              </w:rPr>
            </w:pPr>
            <w:r w:rsidRPr="00284AC3">
              <w:rPr>
                <w:rFonts w:ascii="Times New Roman" w:hAnsi="Times New Roman"/>
                <w:sz w:val="20"/>
              </w:rPr>
              <w:t>-Conceptos e Informes Técnicos de evaluación, control o seguimiento ambiental.</w:t>
            </w:r>
          </w:p>
          <w:p w14:paraId="31E23A29"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requerimiento.</w:t>
            </w:r>
          </w:p>
          <w:p w14:paraId="41C6B745" w14:textId="4EDE166D" w:rsidR="00284AC3" w:rsidRPr="00284AC3" w:rsidRDefault="00284AC3" w:rsidP="00926F48">
            <w:pPr>
              <w:jc w:val="left"/>
              <w:rPr>
                <w:rFonts w:ascii="Times New Roman" w:hAnsi="Times New Roman"/>
                <w:sz w:val="20"/>
              </w:rPr>
            </w:pPr>
            <w:r w:rsidRPr="00284AC3">
              <w:rPr>
                <w:rFonts w:ascii="Times New Roman" w:hAnsi="Times New Roman"/>
                <w:sz w:val="20"/>
              </w:rPr>
              <w:t>-Actos administrativos de aprobación de instrumentos ambientales.</w:t>
            </w:r>
          </w:p>
        </w:tc>
      </w:tr>
      <w:tr w:rsidR="00926F48" w:rsidRPr="00284AC3" w14:paraId="64968227" w14:textId="77777777" w:rsidTr="00926F48">
        <w:trPr>
          <w:trHeight w:val="25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BFA6C7C" w14:textId="16331C08"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120AD83" w14:textId="35296AB2"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320102100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realizados</w:t>
            </w:r>
            <w:r>
              <w:rPr>
                <w:rFonts w:ascii="Times New Roman" w:hAnsi="Times New Roman"/>
                <w:sz w:val="20"/>
              </w:rPr>
              <w:t xml:space="preserve"> </w:t>
            </w:r>
            <w:r w:rsidRPr="00284AC3">
              <w:rPr>
                <w:rFonts w:ascii="Times New Roman" w:hAnsi="Times New Roman"/>
                <w:sz w:val="20"/>
              </w:rPr>
              <w:t>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6ADBE23C" w14:textId="77777777" w:rsidR="003C5B15" w:rsidRDefault="003C5B15" w:rsidP="00284AC3">
            <w:pPr>
              <w:jc w:val="center"/>
              <w:rPr>
                <w:rFonts w:ascii="Times New Roman" w:hAnsi="Times New Roman"/>
                <w:sz w:val="20"/>
              </w:rPr>
            </w:pPr>
          </w:p>
          <w:p w14:paraId="10831814" w14:textId="77777777" w:rsidR="003C5B15" w:rsidRDefault="003C5B15" w:rsidP="00284AC3">
            <w:pPr>
              <w:jc w:val="center"/>
              <w:rPr>
                <w:rFonts w:ascii="Times New Roman" w:hAnsi="Times New Roman"/>
                <w:sz w:val="20"/>
              </w:rPr>
            </w:pPr>
          </w:p>
          <w:p w14:paraId="103F698C" w14:textId="77777777" w:rsidR="003C5B15" w:rsidRDefault="003C5B15" w:rsidP="00284AC3">
            <w:pPr>
              <w:jc w:val="center"/>
              <w:rPr>
                <w:rFonts w:ascii="Times New Roman" w:hAnsi="Times New Roman"/>
                <w:sz w:val="20"/>
              </w:rPr>
            </w:pPr>
          </w:p>
          <w:p w14:paraId="6BC0CEC3" w14:textId="77777777" w:rsidR="003C5B15" w:rsidRDefault="003C5B15" w:rsidP="00284AC3">
            <w:pPr>
              <w:jc w:val="center"/>
              <w:rPr>
                <w:rFonts w:ascii="Times New Roman" w:hAnsi="Times New Roman"/>
                <w:sz w:val="20"/>
              </w:rPr>
            </w:pPr>
          </w:p>
          <w:p w14:paraId="2DAD339D" w14:textId="0D1BEB26" w:rsidR="00284AC3" w:rsidRPr="00284AC3" w:rsidRDefault="00284AC3" w:rsidP="003C5B15">
            <w:pPr>
              <w:jc w:val="center"/>
              <w:rPr>
                <w:rFonts w:ascii="Times New Roman" w:hAnsi="Times New Roman"/>
                <w:sz w:val="20"/>
              </w:rPr>
            </w:pPr>
            <w:r w:rsidRPr="00284AC3">
              <w:rPr>
                <w:rFonts w:ascii="Times New Roman" w:hAnsi="Times New Roman"/>
                <w:sz w:val="20"/>
              </w:rPr>
              <w:t>Numero</w:t>
            </w:r>
          </w:p>
        </w:tc>
        <w:tc>
          <w:tcPr>
            <w:tcW w:w="993" w:type="dxa"/>
            <w:tcBorders>
              <w:top w:val="nil"/>
              <w:left w:val="nil"/>
              <w:bottom w:val="single" w:sz="4" w:space="0" w:color="000000"/>
              <w:right w:val="single" w:sz="4" w:space="0" w:color="000000"/>
            </w:tcBorders>
            <w:shd w:val="clear" w:color="auto" w:fill="auto"/>
          </w:tcPr>
          <w:p w14:paraId="60A3BE24" w14:textId="77777777" w:rsidR="003C5B15" w:rsidRPr="00200819" w:rsidRDefault="003C5B15" w:rsidP="00284AC3">
            <w:pPr>
              <w:jc w:val="center"/>
              <w:rPr>
                <w:rFonts w:ascii="Times New Roman" w:hAnsi="Times New Roman"/>
                <w:sz w:val="20"/>
              </w:rPr>
            </w:pPr>
          </w:p>
          <w:p w14:paraId="04C24FC9" w14:textId="77777777" w:rsidR="003C5B15" w:rsidRPr="00200819" w:rsidRDefault="003C5B15" w:rsidP="00284AC3">
            <w:pPr>
              <w:jc w:val="center"/>
              <w:rPr>
                <w:rFonts w:ascii="Times New Roman" w:hAnsi="Times New Roman"/>
                <w:sz w:val="20"/>
              </w:rPr>
            </w:pPr>
          </w:p>
          <w:p w14:paraId="2D7B8A4B" w14:textId="77777777" w:rsidR="003C5B15" w:rsidRPr="00200819" w:rsidRDefault="003C5B15" w:rsidP="00284AC3">
            <w:pPr>
              <w:jc w:val="center"/>
              <w:rPr>
                <w:rFonts w:ascii="Times New Roman" w:hAnsi="Times New Roman"/>
                <w:sz w:val="20"/>
              </w:rPr>
            </w:pPr>
          </w:p>
          <w:p w14:paraId="77752287" w14:textId="77777777" w:rsidR="003C5B15" w:rsidRPr="00200819" w:rsidRDefault="003C5B15" w:rsidP="00284AC3">
            <w:pPr>
              <w:jc w:val="center"/>
              <w:rPr>
                <w:rFonts w:ascii="Times New Roman" w:hAnsi="Times New Roman"/>
                <w:sz w:val="20"/>
              </w:rPr>
            </w:pPr>
          </w:p>
          <w:p w14:paraId="68A1CA46" w14:textId="0318BFB7" w:rsidR="00284AC3" w:rsidRPr="00200819" w:rsidRDefault="00284AC3" w:rsidP="00284AC3">
            <w:pPr>
              <w:jc w:val="center"/>
              <w:rPr>
                <w:rFonts w:ascii="Times New Roman" w:hAnsi="Times New Roman"/>
                <w:sz w:val="20"/>
              </w:rPr>
            </w:pPr>
            <w:r w:rsidRPr="00200819">
              <w:rPr>
                <w:rFonts w:ascii="Times New Roman" w:hAnsi="Times New Roman"/>
                <w:sz w:val="20"/>
              </w:rPr>
              <w:t>1</w:t>
            </w:r>
          </w:p>
        </w:tc>
        <w:tc>
          <w:tcPr>
            <w:tcW w:w="708" w:type="dxa"/>
            <w:tcBorders>
              <w:top w:val="nil"/>
              <w:left w:val="nil"/>
              <w:bottom w:val="single" w:sz="4" w:space="0" w:color="000000"/>
              <w:right w:val="single" w:sz="4" w:space="0" w:color="000000"/>
            </w:tcBorders>
            <w:vAlign w:val="center"/>
          </w:tcPr>
          <w:p w14:paraId="21D9E122" w14:textId="4EE4937D" w:rsidR="00284AC3" w:rsidRPr="00200819" w:rsidRDefault="00284AC3" w:rsidP="00284AC3">
            <w:pPr>
              <w:jc w:val="center"/>
              <w:rPr>
                <w:rFonts w:ascii="Times New Roman" w:hAnsi="Times New Roman"/>
                <w:sz w:val="20"/>
              </w:rPr>
            </w:pPr>
            <w:r w:rsidRPr="00200819">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3E9E98F0" w14:textId="31FB11C1" w:rsidR="00284AC3" w:rsidRPr="00200819" w:rsidRDefault="00284AC3" w:rsidP="00284AC3">
            <w:pPr>
              <w:jc w:val="center"/>
              <w:rPr>
                <w:rFonts w:ascii="Times New Roman" w:hAnsi="Times New Roman"/>
                <w:sz w:val="20"/>
              </w:rPr>
            </w:pPr>
            <w:r w:rsidRPr="00200819">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655E02E1" w14:textId="4B3ECAA0" w:rsidR="00284AC3" w:rsidRPr="00200819" w:rsidRDefault="00284AC3" w:rsidP="00284AC3">
            <w:pPr>
              <w:jc w:val="center"/>
              <w:rPr>
                <w:rFonts w:ascii="Times New Roman" w:hAnsi="Times New Roman"/>
                <w:sz w:val="20"/>
              </w:rPr>
            </w:pPr>
            <w:r w:rsidRPr="00200819">
              <w:rPr>
                <w:rFonts w:ascii="Times New Roman" w:hAnsi="Times New Roman"/>
                <w:sz w:val="20"/>
              </w:rPr>
              <w:t>0.</w:t>
            </w:r>
            <w:r w:rsidR="00AC7C3B" w:rsidRPr="00200819">
              <w:rPr>
                <w:rFonts w:ascii="Times New Roman" w:hAnsi="Times New Roman"/>
                <w:sz w:val="20"/>
              </w:rPr>
              <w:t>1</w:t>
            </w:r>
          </w:p>
        </w:tc>
        <w:tc>
          <w:tcPr>
            <w:tcW w:w="709" w:type="dxa"/>
            <w:tcBorders>
              <w:top w:val="nil"/>
              <w:left w:val="nil"/>
              <w:bottom w:val="single" w:sz="4" w:space="0" w:color="000000"/>
              <w:right w:val="single" w:sz="4" w:space="0" w:color="000000"/>
            </w:tcBorders>
            <w:vAlign w:val="center"/>
          </w:tcPr>
          <w:p w14:paraId="62A16DD1" w14:textId="12C66841" w:rsidR="00284AC3" w:rsidRPr="00200819" w:rsidRDefault="00284AC3" w:rsidP="00284AC3">
            <w:pPr>
              <w:jc w:val="center"/>
              <w:rPr>
                <w:rFonts w:ascii="Times New Roman" w:hAnsi="Times New Roman"/>
                <w:sz w:val="20"/>
              </w:rPr>
            </w:pPr>
            <w:r w:rsidRPr="00200819">
              <w:rPr>
                <w:rFonts w:ascii="Times New Roman" w:hAnsi="Times New Roman"/>
                <w:sz w:val="20"/>
              </w:rPr>
              <w:t>0.</w:t>
            </w:r>
            <w:r w:rsidR="00AC7C3B" w:rsidRPr="00200819">
              <w:rPr>
                <w:rFonts w:ascii="Times New Roman" w:hAnsi="Times New Roman"/>
                <w:sz w:val="20"/>
              </w:rPr>
              <w:t>9</w:t>
            </w:r>
          </w:p>
        </w:tc>
        <w:tc>
          <w:tcPr>
            <w:tcW w:w="708" w:type="dxa"/>
            <w:tcBorders>
              <w:top w:val="nil"/>
              <w:left w:val="nil"/>
              <w:bottom w:val="single" w:sz="4" w:space="0" w:color="000000"/>
              <w:right w:val="single" w:sz="4" w:space="0" w:color="000000"/>
            </w:tcBorders>
            <w:vAlign w:val="center"/>
          </w:tcPr>
          <w:p w14:paraId="65FEE355" w14:textId="72F6F311" w:rsidR="00284AC3" w:rsidRPr="00200819" w:rsidRDefault="00284AC3" w:rsidP="00284AC3">
            <w:pPr>
              <w:jc w:val="center"/>
              <w:rPr>
                <w:rFonts w:ascii="Times New Roman" w:hAnsi="Times New Roman"/>
                <w:sz w:val="20"/>
              </w:rPr>
            </w:pPr>
            <w:r w:rsidRPr="00200819">
              <w:rPr>
                <w:rFonts w:ascii="Times New Roman" w:hAnsi="Times New Roman"/>
                <w:sz w:val="20"/>
              </w:rPr>
              <w:t>0</w:t>
            </w:r>
          </w:p>
        </w:tc>
        <w:tc>
          <w:tcPr>
            <w:tcW w:w="2835" w:type="dxa"/>
            <w:tcBorders>
              <w:top w:val="nil"/>
              <w:left w:val="nil"/>
              <w:bottom w:val="single" w:sz="4" w:space="0" w:color="000000"/>
              <w:right w:val="single" w:sz="4" w:space="0" w:color="000000"/>
            </w:tcBorders>
            <w:vAlign w:val="center"/>
          </w:tcPr>
          <w:p w14:paraId="7E64301B" w14:textId="49DAD11B" w:rsidR="00284AC3" w:rsidRPr="00284AC3" w:rsidRDefault="00284AC3" w:rsidP="00926F48">
            <w:pPr>
              <w:jc w:val="left"/>
              <w:rPr>
                <w:rFonts w:ascii="Times New Roman" w:hAnsi="Times New Roman"/>
                <w:sz w:val="20"/>
              </w:rPr>
            </w:pPr>
            <w:r>
              <w:rPr>
                <w:rFonts w:ascii="Times New Roman" w:hAnsi="Times New Roman"/>
                <w:sz w:val="20"/>
              </w:rPr>
              <w:t>Informes de avance de modelación</w:t>
            </w:r>
          </w:p>
        </w:tc>
      </w:tr>
    </w:tbl>
    <w:p w14:paraId="41403A42" w14:textId="12B3181B"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lastRenderedPageBreak/>
        <w:t xml:space="preserve">Fuente: </w:t>
      </w:r>
      <w:r w:rsidR="00284AC3">
        <w:rPr>
          <w:rFonts w:ascii="Times New Roman" w:hAnsi="Times New Roman"/>
          <w:sz w:val="18"/>
          <w:szCs w:val="18"/>
        </w:rPr>
        <w:t>Subdirección del Recurso Hídrico y del Suelo y Dirección de Control Ambiental</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6C4C2C1F" w14:textId="77777777" w:rsidR="00284AC3" w:rsidRDefault="00284AC3" w:rsidP="00284AC3">
      <w:pPr>
        <w:rPr>
          <w:rFonts w:ascii="Times New Roman" w:hAnsi="Times New Roman"/>
          <w:iCs/>
          <w:szCs w:val="24"/>
          <w:lang w:eastAsia="es-CO"/>
        </w:rPr>
      </w:pPr>
      <w:r>
        <w:rPr>
          <w:rFonts w:ascii="Times New Roman" w:hAnsi="Times New Roman"/>
          <w:iCs/>
          <w:szCs w:val="24"/>
          <w:lang w:eastAsia="es-CO"/>
        </w:rPr>
        <w:t>De acuerdo con el cumplimiento de las actividades relacionadas se establecen los siguientes indicadores que ayudaran a medir la gestión realizada en la generación de los productos planteados y el cumplimiento de las metas establecidas.</w:t>
      </w:r>
    </w:p>
    <w:p w14:paraId="41459686" w14:textId="77777777" w:rsidR="00284AC3" w:rsidRDefault="00284AC3" w:rsidP="00284AC3">
      <w:pPr>
        <w:ind w:left="1068"/>
        <w:contextualSpacing/>
        <w:rPr>
          <w:rFonts w:ascii="Times New Roman" w:hAnsi="Times New Roman"/>
          <w:szCs w:val="24"/>
          <w:lang w:eastAsia="es-CO"/>
        </w:rPr>
      </w:pPr>
    </w:p>
    <w:p w14:paraId="25AC76DC"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26 Indicadores de gestión</w:t>
      </w:r>
    </w:p>
    <w:tbl>
      <w:tblPr>
        <w:tblW w:w="13046" w:type="dxa"/>
        <w:jc w:val="center"/>
        <w:tblLayout w:type="fixed"/>
        <w:tblLook w:val="0400" w:firstRow="0" w:lastRow="0" w:firstColumn="0" w:lastColumn="0" w:noHBand="0" w:noVBand="1"/>
      </w:tblPr>
      <w:tblGrid>
        <w:gridCol w:w="2547"/>
        <w:gridCol w:w="1756"/>
        <w:gridCol w:w="1527"/>
        <w:gridCol w:w="969"/>
        <w:gridCol w:w="851"/>
        <w:gridCol w:w="709"/>
        <w:gridCol w:w="850"/>
        <w:gridCol w:w="709"/>
        <w:gridCol w:w="850"/>
        <w:gridCol w:w="2278"/>
      </w:tblGrid>
      <w:tr w:rsidR="005104CE" w14:paraId="2FED63EC" w14:textId="77777777" w:rsidTr="00284AC3">
        <w:trPr>
          <w:trHeight w:val="586"/>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5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96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7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284AC3" w:rsidRPr="00284AC3" w14:paraId="2F5004DF" w14:textId="77777777" w:rsidTr="00926F48">
        <w:trPr>
          <w:trHeight w:val="505"/>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0D125B0"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rPr>
              <w:t>Predios diagnosticados con actividades de evaluación, control y seguimiento ambiental, asociados al desarrollo de actividades industriales y de servicios.</w:t>
            </w:r>
          </w:p>
        </w:tc>
        <w:tc>
          <w:tcPr>
            <w:tcW w:w="1756" w:type="dxa"/>
            <w:tcBorders>
              <w:top w:val="single" w:sz="4" w:space="0" w:color="000000"/>
              <w:left w:val="nil"/>
              <w:bottom w:val="single" w:sz="4" w:space="0" w:color="000000"/>
              <w:right w:val="single" w:sz="4" w:space="0" w:color="000000"/>
            </w:tcBorders>
            <w:shd w:val="clear" w:color="auto" w:fill="auto"/>
            <w:vAlign w:val="center"/>
          </w:tcPr>
          <w:p w14:paraId="6250A5D5" w14:textId="029FB87E"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Numero de predios con documentos de instrumento técnico de evaluación control y seguimiento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44756E4C" w:rsidR="00284AC3" w:rsidRPr="00284AC3" w:rsidRDefault="00284AC3" w:rsidP="00284AC3">
            <w:pPr>
              <w:jc w:val="center"/>
              <w:rPr>
                <w:rFonts w:ascii="Times New Roman" w:hAnsi="Times New Roman"/>
                <w:sz w:val="18"/>
                <w:szCs w:val="18"/>
              </w:rPr>
            </w:pPr>
            <w:r w:rsidRPr="00284AC3">
              <w:rPr>
                <w:rFonts w:ascii="Times New Roman" w:hAnsi="Times New Roman"/>
                <w:color w:val="000000"/>
                <w:sz w:val="18"/>
                <w:szCs w:val="18"/>
              </w:rPr>
              <w:t>9900G035</w:t>
            </w:r>
          </w:p>
        </w:tc>
        <w:tc>
          <w:tcPr>
            <w:tcW w:w="969" w:type="dxa"/>
            <w:tcBorders>
              <w:top w:val="single" w:sz="4" w:space="0" w:color="000000"/>
              <w:left w:val="nil"/>
              <w:bottom w:val="single" w:sz="4" w:space="0" w:color="000000"/>
              <w:right w:val="single" w:sz="4" w:space="0" w:color="auto"/>
            </w:tcBorders>
            <w:shd w:val="clear" w:color="auto" w:fill="auto"/>
            <w:vAlign w:val="center"/>
          </w:tcPr>
          <w:p w14:paraId="7ADDD8C8" w14:textId="6815401D" w:rsidR="00284AC3" w:rsidRPr="008C086D" w:rsidRDefault="00284AC3" w:rsidP="00284AC3">
            <w:pPr>
              <w:jc w:val="center"/>
              <w:rPr>
                <w:rFonts w:ascii="Times New Roman" w:hAnsi="Times New Roman"/>
                <w:sz w:val="18"/>
                <w:szCs w:val="18"/>
              </w:rPr>
            </w:pPr>
            <w:r w:rsidRPr="008C086D">
              <w:rPr>
                <w:rFonts w:ascii="Times New Roman" w:hAnsi="Times New Roman"/>
                <w:sz w:val="18"/>
                <w:szCs w:val="18"/>
                <w:lang w:eastAsia="es-CO"/>
              </w:rPr>
              <w:t>1000</w:t>
            </w:r>
          </w:p>
        </w:tc>
        <w:tc>
          <w:tcPr>
            <w:tcW w:w="851" w:type="dxa"/>
            <w:tcBorders>
              <w:top w:val="single" w:sz="4" w:space="0" w:color="auto"/>
              <w:left w:val="single" w:sz="4" w:space="0" w:color="auto"/>
              <w:bottom w:val="single" w:sz="4" w:space="0" w:color="auto"/>
              <w:right w:val="single" w:sz="4" w:space="0" w:color="auto"/>
            </w:tcBorders>
          </w:tcPr>
          <w:p w14:paraId="63BA9997" w14:textId="77777777" w:rsidR="003C5B15" w:rsidRPr="008C086D" w:rsidRDefault="003C5B15" w:rsidP="00284AC3">
            <w:pPr>
              <w:jc w:val="center"/>
              <w:rPr>
                <w:rFonts w:ascii="Times New Roman" w:hAnsi="Times New Roman"/>
                <w:sz w:val="18"/>
                <w:szCs w:val="18"/>
              </w:rPr>
            </w:pPr>
          </w:p>
          <w:p w14:paraId="08A31C23" w14:textId="77777777" w:rsidR="003C5B15" w:rsidRPr="008C086D" w:rsidRDefault="003C5B15" w:rsidP="00284AC3">
            <w:pPr>
              <w:jc w:val="center"/>
              <w:rPr>
                <w:rFonts w:ascii="Times New Roman" w:hAnsi="Times New Roman"/>
                <w:sz w:val="18"/>
                <w:szCs w:val="18"/>
              </w:rPr>
            </w:pPr>
          </w:p>
          <w:p w14:paraId="747B1BDD" w14:textId="77777777" w:rsidR="003C5B15" w:rsidRPr="008C086D" w:rsidRDefault="003C5B15" w:rsidP="00284AC3">
            <w:pPr>
              <w:jc w:val="center"/>
              <w:rPr>
                <w:rFonts w:ascii="Times New Roman" w:hAnsi="Times New Roman"/>
                <w:sz w:val="18"/>
                <w:szCs w:val="18"/>
              </w:rPr>
            </w:pPr>
          </w:p>
          <w:p w14:paraId="31E8F37C" w14:textId="77777777" w:rsidR="003C5B15" w:rsidRPr="008C086D" w:rsidRDefault="003C5B15" w:rsidP="00284AC3">
            <w:pPr>
              <w:jc w:val="center"/>
              <w:rPr>
                <w:rFonts w:ascii="Times New Roman" w:hAnsi="Times New Roman"/>
                <w:sz w:val="18"/>
                <w:szCs w:val="18"/>
              </w:rPr>
            </w:pPr>
          </w:p>
          <w:p w14:paraId="50D19BCF" w14:textId="77777777" w:rsidR="003C5B15" w:rsidRPr="008C086D" w:rsidRDefault="003C5B15" w:rsidP="00284AC3">
            <w:pPr>
              <w:jc w:val="center"/>
              <w:rPr>
                <w:rFonts w:ascii="Times New Roman" w:hAnsi="Times New Roman"/>
                <w:sz w:val="18"/>
                <w:szCs w:val="18"/>
              </w:rPr>
            </w:pPr>
          </w:p>
          <w:p w14:paraId="14534425" w14:textId="77777777" w:rsidR="003C5B15" w:rsidRPr="008C086D" w:rsidRDefault="003C5B15" w:rsidP="00284AC3">
            <w:pPr>
              <w:jc w:val="center"/>
              <w:rPr>
                <w:rFonts w:ascii="Times New Roman" w:hAnsi="Times New Roman"/>
                <w:sz w:val="18"/>
                <w:szCs w:val="18"/>
              </w:rPr>
            </w:pPr>
          </w:p>
          <w:p w14:paraId="596A0127" w14:textId="77777777" w:rsidR="003C5B15" w:rsidRPr="008C086D" w:rsidRDefault="003C5B15" w:rsidP="00284AC3">
            <w:pPr>
              <w:jc w:val="center"/>
              <w:rPr>
                <w:rFonts w:ascii="Times New Roman" w:hAnsi="Times New Roman"/>
                <w:sz w:val="18"/>
                <w:szCs w:val="18"/>
              </w:rPr>
            </w:pPr>
          </w:p>
          <w:p w14:paraId="420A07A3" w14:textId="7983C845" w:rsidR="00284AC3" w:rsidRPr="008C086D" w:rsidRDefault="00A3210D" w:rsidP="00284AC3">
            <w:pPr>
              <w:jc w:val="center"/>
              <w:rPr>
                <w:rFonts w:ascii="Times New Roman" w:hAnsi="Times New Roman"/>
                <w:sz w:val="18"/>
                <w:szCs w:val="18"/>
              </w:rPr>
            </w:pPr>
            <w:r w:rsidRPr="008C086D">
              <w:rPr>
                <w:rFonts w:ascii="Times New Roman" w:hAnsi="Times New Roman"/>
                <w:sz w:val="18"/>
                <w:szCs w:val="18"/>
              </w:rPr>
              <w:t>96</w:t>
            </w:r>
          </w:p>
        </w:tc>
        <w:tc>
          <w:tcPr>
            <w:tcW w:w="709" w:type="dxa"/>
            <w:tcBorders>
              <w:top w:val="single" w:sz="4" w:space="0" w:color="auto"/>
              <w:left w:val="single" w:sz="4" w:space="0" w:color="auto"/>
              <w:bottom w:val="single" w:sz="4" w:space="0" w:color="auto"/>
              <w:right w:val="single" w:sz="4" w:space="0" w:color="auto"/>
            </w:tcBorders>
          </w:tcPr>
          <w:p w14:paraId="52BB1A78" w14:textId="77777777" w:rsidR="003C5B15" w:rsidRPr="008C086D" w:rsidRDefault="003C5B15" w:rsidP="00284AC3">
            <w:pPr>
              <w:jc w:val="center"/>
              <w:rPr>
                <w:rFonts w:ascii="Times New Roman" w:hAnsi="Times New Roman"/>
                <w:sz w:val="18"/>
                <w:szCs w:val="18"/>
              </w:rPr>
            </w:pPr>
          </w:p>
          <w:p w14:paraId="6EF35D9C" w14:textId="77777777" w:rsidR="003C5B15" w:rsidRPr="008C086D" w:rsidRDefault="003C5B15" w:rsidP="00284AC3">
            <w:pPr>
              <w:jc w:val="center"/>
              <w:rPr>
                <w:rFonts w:ascii="Times New Roman" w:hAnsi="Times New Roman"/>
                <w:sz w:val="18"/>
                <w:szCs w:val="18"/>
              </w:rPr>
            </w:pPr>
          </w:p>
          <w:p w14:paraId="095B18B8" w14:textId="77777777" w:rsidR="003C5B15" w:rsidRPr="008C086D" w:rsidRDefault="003C5B15" w:rsidP="00284AC3">
            <w:pPr>
              <w:jc w:val="center"/>
              <w:rPr>
                <w:rFonts w:ascii="Times New Roman" w:hAnsi="Times New Roman"/>
                <w:sz w:val="18"/>
                <w:szCs w:val="18"/>
              </w:rPr>
            </w:pPr>
          </w:p>
          <w:p w14:paraId="06D005D1" w14:textId="77777777" w:rsidR="003C5B15" w:rsidRPr="008C086D" w:rsidRDefault="003C5B15" w:rsidP="00284AC3">
            <w:pPr>
              <w:jc w:val="center"/>
              <w:rPr>
                <w:rFonts w:ascii="Times New Roman" w:hAnsi="Times New Roman"/>
                <w:sz w:val="18"/>
                <w:szCs w:val="18"/>
              </w:rPr>
            </w:pPr>
          </w:p>
          <w:p w14:paraId="757BD486" w14:textId="77777777" w:rsidR="003C5B15" w:rsidRPr="008C086D" w:rsidRDefault="003C5B15" w:rsidP="00284AC3">
            <w:pPr>
              <w:jc w:val="center"/>
              <w:rPr>
                <w:rFonts w:ascii="Times New Roman" w:hAnsi="Times New Roman"/>
                <w:sz w:val="18"/>
                <w:szCs w:val="18"/>
              </w:rPr>
            </w:pPr>
          </w:p>
          <w:p w14:paraId="2A952253" w14:textId="77777777" w:rsidR="003C5B15" w:rsidRPr="008C086D" w:rsidRDefault="003C5B15" w:rsidP="00284AC3">
            <w:pPr>
              <w:jc w:val="center"/>
              <w:rPr>
                <w:rFonts w:ascii="Times New Roman" w:hAnsi="Times New Roman"/>
                <w:sz w:val="18"/>
                <w:szCs w:val="18"/>
              </w:rPr>
            </w:pPr>
          </w:p>
          <w:p w14:paraId="3652978E" w14:textId="77777777" w:rsidR="003C5B15" w:rsidRPr="008C086D" w:rsidRDefault="003C5B15" w:rsidP="00284AC3">
            <w:pPr>
              <w:jc w:val="center"/>
              <w:rPr>
                <w:rFonts w:ascii="Times New Roman" w:hAnsi="Times New Roman"/>
                <w:sz w:val="18"/>
                <w:szCs w:val="18"/>
              </w:rPr>
            </w:pPr>
          </w:p>
          <w:p w14:paraId="78DDE3E3" w14:textId="50BC1881" w:rsidR="00284AC3" w:rsidRPr="008C086D" w:rsidRDefault="00284AC3" w:rsidP="00284AC3">
            <w:pPr>
              <w:jc w:val="center"/>
              <w:rPr>
                <w:rFonts w:ascii="Times New Roman" w:hAnsi="Times New Roman"/>
                <w:sz w:val="18"/>
                <w:szCs w:val="18"/>
              </w:rPr>
            </w:pPr>
            <w:r w:rsidRPr="008C086D">
              <w:rPr>
                <w:rFonts w:ascii="Times New Roman" w:hAnsi="Times New Roman"/>
                <w:sz w:val="18"/>
                <w:szCs w:val="18"/>
              </w:rPr>
              <w:t>1</w:t>
            </w:r>
            <w:r w:rsidR="00A3210D" w:rsidRPr="008C086D">
              <w:rPr>
                <w:rFonts w:ascii="Times New Roman" w:hAnsi="Times New Roman"/>
                <w:sz w:val="18"/>
                <w:szCs w:val="18"/>
              </w:rPr>
              <w:t>72</w:t>
            </w:r>
          </w:p>
        </w:tc>
        <w:tc>
          <w:tcPr>
            <w:tcW w:w="850" w:type="dxa"/>
            <w:tcBorders>
              <w:top w:val="single" w:sz="4" w:space="0" w:color="auto"/>
              <w:left w:val="single" w:sz="4" w:space="0" w:color="auto"/>
              <w:bottom w:val="single" w:sz="4" w:space="0" w:color="auto"/>
              <w:right w:val="single" w:sz="4" w:space="0" w:color="auto"/>
            </w:tcBorders>
          </w:tcPr>
          <w:p w14:paraId="64C6DDE6" w14:textId="77777777" w:rsidR="003C5B15" w:rsidRPr="008C086D" w:rsidRDefault="003C5B15" w:rsidP="00284AC3">
            <w:pPr>
              <w:jc w:val="center"/>
              <w:rPr>
                <w:rFonts w:ascii="Times New Roman" w:hAnsi="Times New Roman"/>
                <w:sz w:val="18"/>
                <w:szCs w:val="18"/>
              </w:rPr>
            </w:pPr>
          </w:p>
          <w:p w14:paraId="3C3BBBD0" w14:textId="77777777" w:rsidR="003C5B15" w:rsidRPr="008C086D" w:rsidRDefault="003C5B15" w:rsidP="00284AC3">
            <w:pPr>
              <w:jc w:val="center"/>
              <w:rPr>
                <w:rFonts w:ascii="Times New Roman" w:hAnsi="Times New Roman"/>
                <w:sz w:val="18"/>
                <w:szCs w:val="18"/>
              </w:rPr>
            </w:pPr>
          </w:p>
          <w:p w14:paraId="5AA0ECAF" w14:textId="77777777" w:rsidR="003C5B15" w:rsidRPr="008C086D" w:rsidRDefault="003C5B15" w:rsidP="00284AC3">
            <w:pPr>
              <w:jc w:val="center"/>
              <w:rPr>
                <w:rFonts w:ascii="Times New Roman" w:hAnsi="Times New Roman"/>
                <w:sz w:val="18"/>
                <w:szCs w:val="18"/>
              </w:rPr>
            </w:pPr>
          </w:p>
          <w:p w14:paraId="6AA4D268" w14:textId="77777777" w:rsidR="003C5B15" w:rsidRPr="008C086D" w:rsidRDefault="003C5B15" w:rsidP="00284AC3">
            <w:pPr>
              <w:jc w:val="center"/>
              <w:rPr>
                <w:rFonts w:ascii="Times New Roman" w:hAnsi="Times New Roman"/>
                <w:sz w:val="18"/>
                <w:szCs w:val="18"/>
              </w:rPr>
            </w:pPr>
          </w:p>
          <w:p w14:paraId="5028E202" w14:textId="77777777" w:rsidR="003C5B15" w:rsidRPr="008C086D" w:rsidRDefault="003C5B15" w:rsidP="00284AC3">
            <w:pPr>
              <w:jc w:val="center"/>
              <w:rPr>
                <w:rFonts w:ascii="Times New Roman" w:hAnsi="Times New Roman"/>
                <w:sz w:val="18"/>
                <w:szCs w:val="18"/>
              </w:rPr>
            </w:pPr>
          </w:p>
          <w:p w14:paraId="4B7334BA" w14:textId="77777777" w:rsidR="003C5B15" w:rsidRPr="008C086D" w:rsidRDefault="003C5B15" w:rsidP="00284AC3">
            <w:pPr>
              <w:jc w:val="center"/>
              <w:rPr>
                <w:rFonts w:ascii="Times New Roman" w:hAnsi="Times New Roman"/>
                <w:sz w:val="18"/>
                <w:szCs w:val="18"/>
              </w:rPr>
            </w:pPr>
          </w:p>
          <w:p w14:paraId="1DBAA0C9" w14:textId="77777777" w:rsidR="003C5B15" w:rsidRPr="008C086D" w:rsidRDefault="003C5B15" w:rsidP="00284AC3">
            <w:pPr>
              <w:jc w:val="center"/>
              <w:rPr>
                <w:rFonts w:ascii="Times New Roman" w:hAnsi="Times New Roman"/>
                <w:sz w:val="18"/>
                <w:szCs w:val="18"/>
              </w:rPr>
            </w:pPr>
          </w:p>
          <w:p w14:paraId="07149E27" w14:textId="2BA51054" w:rsidR="00284AC3" w:rsidRPr="008C086D" w:rsidRDefault="00AC7C3B" w:rsidP="00284AC3">
            <w:pPr>
              <w:jc w:val="center"/>
              <w:rPr>
                <w:rFonts w:ascii="Times New Roman" w:hAnsi="Times New Roman"/>
                <w:sz w:val="18"/>
                <w:szCs w:val="18"/>
              </w:rPr>
            </w:pPr>
            <w:r w:rsidRPr="008C086D">
              <w:rPr>
                <w:rFonts w:ascii="Times New Roman" w:hAnsi="Times New Roman"/>
                <w:sz w:val="18"/>
                <w:szCs w:val="18"/>
              </w:rPr>
              <w:t>249</w:t>
            </w:r>
          </w:p>
        </w:tc>
        <w:tc>
          <w:tcPr>
            <w:tcW w:w="709" w:type="dxa"/>
            <w:tcBorders>
              <w:top w:val="single" w:sz="4" w:space="0" w:color="auto"/>
              <w:left w:val="single" w:sz="4" w:space="0" w:color="auto"/>
              <w:bottom w:val="single" w:sz="4" w:space="0" w:color="auto"/>
              <w:right w:val="single" w:sz="4" w:space="0" w:color="auto"/>
            </w:tcBorders>
          </w:tcPr>
          <w:p w14:paraId="73C16FC6" w14:textId="77777777" w:rsidR="003C5B15" w:rsidRPr="008C086D" w:rsidRDefault="003C5B15" w:rsidP="00284AC3">
            <w:pPr>
              <w:jc w:val="center"/>
              <w:rPr>
                <w:rFonts w:ascii="Times New Roman" w:hAnsi="Times New Roman"/>
                <w:sz w:val="18"/>
                <w:szCs w:val="18"/>
              </w:rPr>
            </w:pPr>
          </w:p>
          <w:p w14:paraId="5EE9EC06" w14:textId="77777777" w:rsidR="003C5B15" w:rsidRPr="008C086D" w:rsidRDefault="003C5B15" w:rsidP="00284AC3">
            <w:pPr>
              <w:jc w:val="center"/>
              <w:rPr>
                <w:rFonts w:ascii="Times New Roman" w:hAnsi="Times New Roman"/>
                <w:sz w:val="18"/>
                <w:szCs w:val="18"/>
              </w:rPr>
            </w:pPr>
          </w:p>
          <w:p w14:paraId="4F108E00" w14:textId="77777777" w:rsidR="003C5B15" w:rsidRPr="008C086D" w:rsidRDefault="003C5B15" w:rsidP="00284AC3">
            <w:pPr>
              <w:jc w:val="center"/>
              <w:rPr>
                <w:rFonts w:ascii="Times New Roman" w:hAnsi="Times New Roman"/>
                <w:sz w:val="18"/>
                <w:szCs w:val="18"/>
              </w:rPr>
            </w:pPr>
          </w:p>
          <w:p w14:paraId="49247E73" w14:textId="77777777" w:rsidR="003C5B15" w:rsidRPr="008C086D" w:rsidRDefault="003C5B15" w:rsidP="00284AC3">
            <w:pPr>
              <w:jc w:val="center"/>
              <w:rPr>
                <w:rFonts w:ascii="Times New Roman" w:hAnsi="Times New Roman"/>
                <w:sz w:val="18"/>
                <w:szCs w:val="18"/>
              </w:rPr>
            </w:pPr>
          </w:p>
          <w:p w14:paraId="1813E390" w14:textId="77777777" w:rsidR="003C5B15" w:rsidRPr="008C086D" w:rsidRDefault="003C5B15" w:rsidP="00284AC3">
            <w:pPr>
              <w:jc w:val="center"/>
              <w:rPr>
                <w:rFonts w:ascii="Times New Roman" w:hAnsi="Times New Roman"/>
                <w:sz w:val="18"/>
                <w:szCs w:val="18"/>
              </w:rPr>
            </w:pPr>
          </w:p>
          <w:p w14:paraId="4E0DC05C" w14:textId="77777777" w:rsidR="003C5B15" w:rsidRPr="008C086D" w:rsidRDefault="003C5B15" w:rsidP="00284AC3">
            <w:pPr>
              <w:jc w:val="center"/>
              <w:rPr>
                <w:rFonts w:ascii="Times New Roman" w:hAnsi="Times New Roman"/>
                <w:sz w:val="18"/>
                <w:szCs w:val="18"/>
              </w:rPr>
            </w:pPr>
          </w:p>
          <w:p w14:paraId="00997A58" w14:textId="77777777" w:rsidR="003C5B15" w:rsidRPr="008C086D" w:rsidRDefault="003C5B15" w:rsidP="00284AC3">
            <w:pPr>
              <w:jc w:val="center"/>
              <w:rPr>
                <w:rFonts w:ascii="Times New Roman" w:hAnsi="Times New Roman"/>
                <w:sz w:val="18"/>
                <w:szCs w:val="18"/>
              </w:rPr>
            </w:pPr>
          </w:p>
          <w:p w14:paraId="5D81FFC8" w14:textId="34499789" w:rsidR="00284AC3" w:rsidRPr="008C086D" w:rsidRDefault="00AC7C3B" w:rsidP="00284AC3">
            <w:pPr>
              <w:jc w:val="center"/>
              <w:rPr>
                <w:rFonts w:ascii="Times New Roman" w:hAnsi="Times New Roman"/>
                <w:sz w:val="18"/>
                <w:szCs w:val="18"/>
              </w:rPr>
            </w:pPr>
            <w:r w:rsidRPr="008C086D">
              <w:rPr>
                <w:rFonts w:ascii="Times New Roman" w:hAnsi="Times New Roman"/>
                <w:sz w:val="18"/>
                <w:szCs w:val="18"/>
              </w:rPr>
              <w:t>380</w:t>
            </w:r>
          </w:p>
        </w:tc>
        <w:tc>
          <w:tcPr>
            <w:tcW w:w="850" w:type="dxa"/>
            <w:tcBorders>
              <w:top w:val="single" w:sz="4" w:space="0" w:color="auto"/>
              <w:left w:val="single" w:sz="4" w:space="0" w:color="auto"/>
              <w:bottom w:val="single" w:sz="4" w:space="0" w:color="auto"/>
              <w:right w:val="single" w:sz="4" w:space="0" w:color="auto"/>
            </w:tcBorders>
          </w:tcPr>
          <w:p w14:paraId="559B0378" w14:textId="77777777" w:rsidR="003C5B15" w:rsidRPr="008C086D" w:rsidRDefault="003C5B15" w:rsidP="003C5B15">
            <w:pPr>
              <w:jc w:val="center"/>
              <w:rPr>
                <w:rFonts w:ascii="Times New Roman" w:hAnsi="Times New Roman"/>
                <w:sz w:val="18"/>
                <w:szCs w:val="18"/>
              </w:rPr>
            </w:pPr>
          </w:p>
          <w:p w14:paraId="36E10802" w14:textId="77777777" w:rsidR="003C5B15" w:rsidRPr="008C086D" w:rsidRDefault="003C5B15" w:rsidP="003C5B15">
            <w:pPr>
              <w:jc w:val="center"/>
              <w:rPr>
                <w:rFonts w:ascii="Times New Roman" w:hAnsi="Times New Roman"/>
                <w:sz w:val="18"/>
                <w:szCs w:val="18"/>
              </w:rPr>
            </w:pPr>
          </w:p>
          <w:p w14:paraId="71FD0067" w14:textId="77777777" w:rsidR="003C5B15" w:rsidRPr="008C086D" w:rsidRDefault="003C5B15" w:rsidP="003C5B15">
            <w:pPr>
              <w:jc w:val="center"/>
              <w:rPr>
                <w:rFonts w:ascii="Times New Roman" w:hAnsi="Times New Roman"/>
                <w:sz w:val="18"/>
                <w:szCs w:val="18"/>
              </w:rPr>
            </w:pPr>
          </w:p>
          <w:p w14:paraId="12055ACB" w14:textId="77777777" w:rsidR="003C5B15" w:rsidRPr="008C086D" w:rsidRDefault="003C5B15" w:rsidP="003C5B15">
            <w:pPr>
              <w:jc w:val="center"/>
              <w:rPr>
                <w:rFonts w:ascii="Times New Roman" w:hAnsi="Times New Roman"/>
                <w:sz w:val="18"/>
                <w:szCs w:val="18"/>
              </w:rPr>
            </w:pPr>
          </w:p>
          <w:p w14:paraId="7278DC75" w14:textId="77777777" w:rsidR="003C5B15" w:rsidRPr="008C086D" w:rsidRDefault="003C5B15" w:rsidP="003C5B15">
            <w:pPr>
              <w:jc w:val="center"/>
              <w:rPr>
                <w:rFonts w:ascii="Times New Roman" w:hAnsi="Times New Roman"/>
                <w:sz w:val="18"/>
                <w:szCs w:val="18"/>
              </w:rPr>
            </w:pPr>
          </w:p>
          <w:p w14:paraId="21AE75FB" w14:textId="77777777" w:rsidR="003C5B15" w:rsidRPr="008C086D" w:rsidRDefault="003C5B15" w:rsidP="003C5B15">
            <w:pPr>
              <w:jc w:val="center"/>
              <w:rPr>
                <w:rFonts w:ascii="Times New Roman" w:hAnsi="Times New Roman"/>
                <w:sz w:val="18"/>
                <w:szCs w:val="18"/>
              </w:rPr>
            </w:pPr>
          </w:p>
          <w:p w14:paraId="3CF0F33A" w14:textId="77777777" w:rsidR="003C5B15" w:rsidRPr="008C086D" w:rsidRDefault="003C5B15" w:rsidP="003C5B15">
            <w:pPr>
              <w:jc w:val="center"/>
              <w:rPr>
                <w:rFonts w:ascii="Times New Roman" w:hAnsi="Times New Roman"/>
                <w:sz w:val="18"/>
                <w:szCs w:val="18"/>
              </w:rPr>
            </w:pPr>
          </w:p>
          <w:p w14:paraId="7C4502C0" w14:textId="387D7797" w:rsidR="00284AC3" w:rsidRPr="008C086D" w:rsidRDefault="003C5B15" w:rsidP="003C5B15">
            <w:pPr>
              <w:rPr>
                <w:rFonts w:ascii="Times New Roman" w:hAnsi="Times New Roman"/>
                <w:sz w:val="18"/>
                <w:szCs w:val="18"/>
              </w:rPr>
            </w:pPr>
            <w:r w:rsidRPr="008C086D">
              <w:rPr>
                <w:rFonts w:ascii="Times New Roman" w:hAnsi="Times New Roman"/>
                <w:sz w:val="18"/>
                <w:szCs w:val="18"/>
              </w:rPr>
              <w:t xml:space="preserve">   </w:t>
            </w:r>
            <w:r w:rsidR="00111A49" w:rsidRPr="008C086D">
              <w:rPr>
                <w:rFonts w:ascii="Times New Roman" w:hAnsi="Times New Roman"/>
                <w:sz w:val="18"/>
                <w:szCs w:val="18"/>
              </w:rPr>
              <w:t>1</w:t>
            </w:r>
            <w:r w:rsidR="00AC7C3B" w:rsidRPr="008C086D">
              <w:rPr>
                <w:rFonts w:ascii="Times New Roman" w:hAnsi="Times New Roman"/>
                <w:sz w:val="18"/>
                <w:szCs w:val="18"/>
              </w:rPr>
              <w:t>03</w:t>
            </w:r>
          </w:p>
        </w:tc>
        <w:tc>
          <w:tcPr>
            <w:tcW w:w="2278" w:type="dxa"/>
            <w:tcBorders>
              <w:top w:val="single" w:sz="4" w:space="0" w:color="auto"/>
              <w:left w:val="single" w:sz="4" w:space="0" w:color="auto"/>
              <w:bottom w:val="single" w:sz="4" w:space="0" w:color="auto"/>
              <w:right w:val="single" w:sz="4" w:space="0" w:color="auto"/>
            </w:tcBorders>
            <w:vAlign w:val="center"/>
          </w:tcPr>
          <w:p w14:paraId="2379672F"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evaluación, control y seguimiento de carácter técnico y jurídico:</w:t>
            </w:r>
          </w:p>
          <w:p w14:paraId="037831CC" w14:textId="77777777" w:rsidR="00284AC3" w:rsidRPr="00284AC3" w:rsidRDefault="00284AC3" w:rsidP="00926F48">
            <w:pPr>
              <w:jc w:val="left"/>
              <w:rPr>
                <w:rFonts w:ascii="Times New Roman" w:hAnsi="Times New Roman"/>
                <w:sz w:val="18"/>
                <w:szCs w:val="18"/>
              </w:rPr>
            </w:pPr>
          </w:p>
          <w:p w14:paraId="351B09AB"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-Conceptos e Informes Técnicos de evaluación, control o seguimiento ambiental.</w:t>
            </w:r>
          </w:p>
          <w:p w14:paraId="694EC58D"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requerimiento.</w:t>
            </w:r>
          </w:p>
          <w:p w14:paraId="7E878040" w14:textId="0DFDA9A9" w:rsidR="00284AC3" w:rsidRPr="00284AC3" w:rsidRDefault="00284AC3" w:rsidP="00926F48">
            <w:pPr>
              <w:jc w:val="left"/>
              <w:rPr>
                <w:rFonts w:ascii="Times New Roman" w:hAnsi="Times New Roman"/>
                <w:sz w:val="18"/>
                <w:szCs w:val="18"/>
                <w:highlight w:val="yellow"/>
              </w:rPr>
            </w:pPr>
            <w:r w:rsidRPr="00284AC3">
              <w:rPr>
                <w:rFonts w:ascii="Times New Roman" w:hAnsi="Times New Roman"/>
                <w:sz w:val="18"/>
                <w:szCs w:val="18"/>
              </w:rPr>
              <w:t>-Actos administrativos de aprobación de instrumentos ambientales.</w:t>
            </w:r>
          </w:p>
        </w:tc>
      </w:tr>
    </w:tbl>
    <w:p w14:paraId="00CE7A3D" w14:textId="3FC477E6"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7DDAFF7B" w14:textId="57D0DD3A"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5880DEA" w14:textId="77777777" w:rsidR="00F550E3" w:rsidRPr="0018003D" w:rsidRDefault="00F550E3">
      <w:pPr>
        <w:jc w:val="left"/>
        <w:rPr>
          <w:rFonts w:ascii="Times New Roman" w:hAnsi="Times New Roman"/>
          <w:b/>
          <w:sz w:val="22"/>
          <w:szCs w:val="22"/>
        </w:rPr>
      </w:pP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p w14:paraId="2AD02007"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27 Resumen del proyecto</w:t>
      </w:r>
    </w:p>
    <w:tbl>
      <w:tblPr>
        <w:tblW w:w="9300" w:type="dxa"/>
        <w:tblLayout w:type="fixed"/>
        <w:tblCellMar>
          <w:left w:w="70" w:type="dxa"/>
          <w:right w:w="70" w:type="dxa"/>
        </w:tblCellMar>
        <w:tblLook w:val="04A0" w:firstRow="1" w:lastRow="0" w:firstColumn="1" w:lastColumn="0" w:noHBand="0" w:noVBand="1"/>
      </w:tblPr>
      <w:tblGrid>
        <w:gridCol w:w="1413"/>
        <w:gridCol w:w="1687"/>
        <w:gridCol w:w="1573"/>
        <w:gridCol w:w="1527"/>
        <w:gridCol w:w="1550"/>
        <w:gridCol w:w="1550"/>
      </w:tblGrid>
      <w:tr w:rsidR="00BD06CF" w14:paraId="2EE96AA9" w14:textId="77777777" w:rsidTr="00284AC3">
        <w:trPr>
          <w:trHeight w:val="762"/>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D6972AE" w14:textId="6DAB2663" w:rsidR="00BD06CF" w:rsidRDefault="00BD06CF" w:rsidP="00BD06CF">
            <w:pPr>
              <w:rPr>
                <w:rFonts w:ascii="Times New Roman" w:hAnsi="Times New Roman"/>
                <w:iCs/>
                <w:sz w:val="22"/>
                <w:szCs w:val="22"/>
                <w:lang w:eastAsia="es-CO"/>
              </w:rPr>
            </w:pPr>
            <w:r w:rsidRPr="007F730D">
              <w:rPr>
                <w:rFonts w:ascii="Times New Roman" w:hAnsi="Times New Roman"/>
                <w:b/>
                <w:color w:val="FFFFFF"/>
                <w:sz w:val="20"/>
              </w:rPr>
              <w:t>RESUMEN NARRATIVO</w:t>
            </w:r>
          </w:p>
        </w:tc>
        <w:tc>
          <w:tcPr>
            <w:tcW w:w="168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161314A" w14:textId="62ED7F33"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w:t>
            </w:r>
          </w:p>
        </w:tc>
        <w:tc>
          <w:tcPr>
            <w:tcW w:w="157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8ACA094" w14:textId="41F4F3E1"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INDICADORES</w:t>
            </w:r>
          </w:p>
        </w:tc>
        <w:tc>
          <w:tcPr>
            <w:tcW w:w="15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1990631" w14:textId="51D1DCFF"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FUENTE DE VERIFICACIÓN</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8F30A8" w14:textId="65BE7DA4"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 DEL RIESGO</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4A9957" w14:textId="5079F8FD"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SUPUESTOS</w:t>
            </w:r>
          </w:p>
        </w:tc>
      </w:tr>
      <w:tr w:rsidR="00284AC3" w14:paraId="46FDF2E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4BAD96E2" w14:textId="77777777" w:rsidR="00284AC3" w:rsidRDefault="00284AC3">
            <w:pPr>
              <w:spacing w:line="256" w:lineRule="auto"/>
              <w:jc w:val="center"/>
              <w:rPr>
                <w:rFonts w:ascii="Times New Roman" w:hAnsi="Times New Roman"/>
                <w:color w:val="000000"/>
                <w:sz w:val="19"/>
                <w:szCs w:val="19"/>
                <w:lang w:eastAsia="es-CO"/>
              </w:rPr>
            </w:pPr>
            <w:bookmarkStart w:id="18" w:name="_Hlk509577046"/>
            <w:r>
              <w:rPr>
                <w:rFonts w:ascii="Times New Roman" w:hAnsi="Times New Roman"/>
                <w:color w:val="000000"/>
                <w:sz w:val="19"/>
                <w:szCs w:val="19"/>
                <w:lang w:eastAsia="es-CO"/>
              </w:rPr>
              <w:t>FIN</w:t>
            </w:r>
          </w:p>
        </w:tc>
        <w:tc>
          <w:tcPr>
            <w:tcW w:w="1687" w:type="dxa"/>
            <w:tcBorders>
              <w:top w:val="nil"/>
              <w:left w:val="nil"/>
              <w:bottom w:val="single" w:sz="4" w:space="0" w:color="auto"/>
              <w:right w:val="single" w:sz="4" w:space="0" w:color="auto"/>
            </w:tcBorders>
            <w:vAlign w:val="center"/>
            <w:hideMark/>
          </w:tcPr>
          <w:p w14:paraId="5D822C8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Fortalecer las actividades de evaluación, control y seguimiento ambiental sobre los predios en los cuales se realizan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65F20084"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100AB5E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05F017C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66CC4EF5"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3FDF659D"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175C895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540CDCD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Desarrollar una herramienta de captura de información conceptual de las características del suelo y el agua subterráneo del acuífero somero.</w:t>
            </w:r>
          </w:p>
        </w:tc>
        <w:tc>
          <w:tcPr>
            <w:tcW w:w="1573" w:type="dxa"/>
            <w:tcBorders>
              <w:top w:val="nil"/>
              <w:left w:val="nil"/>
              <w:bottom w:val="single" w:sz="4" w:space="0" w:color="auto"/>
              <w:right w:val="single" w:sz="4" w:space="0" w:color="auto"/>
            </w:tcBorders>
            <w:vAlign w:val="center"/>
            <w:hideMark/>
          </w:tcPr>
          <w:p w14:paraId="0C81EE7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6FA61F7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53115E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5C72EC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59FD476D" w14:textId="77777777" w:rsidTr="00284AC3">
        <w:trPr>
          <w:trHeight w:val="448"/>
        </w:trPr>
        <w:tc>
          <w:tcPr>
            <w:tcW w:w="1413" w:type="dxa"/>
            <w:tcBorders>
              <w:top w:val="nil"/>
              <w:left w:val="single" w:sz="4" w:space="0" w:color="auto"/>
              <w:bottom w:val="single" w:sz="4" w:space="0" w:color="auto"/>
              <w:right w:val="single" w:sz="4" w:space="0" w:color="auto"/>
            </w:tcBorders>
            <w:vAlign w:val="center"/>
            <w:hideMark/>
          </w:tcPr>
          <w:p w14:paraId="784A21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Propósito</w:t>
            </w:r>
          </w:p>
        </w:tc>
        <w:tc>
          <w:tcPr>
            <w:tcW w:w="1687" w:type="dxa"/>
            <w:tcBorders>
              <w:top w:val="nil"/>
              <w:left w:val="nil"/>
              <w:bottom w:val="single" w:sz="4" w:space="0" w:color="auto"/>
              <w:right w:val="single" w:sz="4" w:space="0" w:color="auto"/>
            </w:tcBorders>
            <w:vAlign w:val="bottom"/>
            <w:hideMark/>
          </w:tcPr>
          <w:p w14:paraId="4EF834E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 xml:space="preserve">Fomentar las actividades de mitigación sobre los impactos ambientales al suelo y agua subterránea del acuífero somero, a través de acciones de evaluación control y vigilancia para diagnosticar las condiciones físicas, químicas y geológicas, </w:t>
            </w:r>
            <w:r>
              <w:rPr>
                <w:rFonts w:ascii="Times New Roman" w:hAnsi="Times New Roman"/>
                <w:color w:val="000000"/>
                <w:sz w:val="16"/>
                <w:szCs w:val="16"/>
              </w:rPr>
              <w:lastRenderedPageBreak/>
              <w:t>y realizar el control ambiental en predios que desarrollan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2311D2CA"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Documentos de instrumentos técnicos de evaluación y seguimiento ambiental realizados a predios, asociados a actividades industriales, de servicios y con antecedentes de extracción de minerales con </w:t>
            </w:r>
            <w:r>
              <w:rPr>
                <w:rFonts w:ascii="Times New Roman" w:hAnsi="Times New Roman"/>
                <w:color w:val="000000"/>
                <w:sz w:val="16"/>
                <w:szCs w:val="16"/>
              </w:rPr>
              <w:lastRenderedPageBreak/>
              <w:t>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7DD05F8D"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r>
            <w:r>
              <w:rPr>
                <w:rFonts w:ascii="Times New Roman" w:hAnsi="Times New Roman"/>
                <w:color w:val="000000"/>
                <w:sz w:val="16"/>
                <w:szCs w:val="16"/>
              </w:rPr>
              <w:lastRenderedPageBreak/>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3DEEB21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Contaminación del suelo y acuífero subterráneo somero en predios que desarrollan actividades industriales y de servicios y pérdida de las condiciones físicas y estructurales en los suelos degradados por </w:t>
            </w:r>
            <w:r>
              <w:rPr>
                <w:rFonts w:ascii="Times New Roman" w:hAnsi="Times New Roman"/>
                <w:color w:val="000000"/>
                <w:sz w:val="16"/>
                <w:szCs w:val="16"/>
              </w:rPr>
              <w:lastRenderedPageBreak/>
              <w:t>extracción de minerales.</w:t>
            </w:r>
          </w:p>
        </w:tc>
        <w:tc>
          <w:tcPr>
            <w:tcW w:w="1550" w:type="dxa"/>
            <w:tcBorders>
              <w:top w:val="nil"/>
              <w:left w:val="nil"/>
              <w:bottom w:val="single" w:sz="4" w:space="0" w:color="auto"/>
              <w:right w:val="single" w:sz="4" w:space="0" w:color="auto"/>
            </w:tcBorders>
            <w:vAlign w:val="center"/>
            <w:hideMark/>
          </w:tcPr>
          <w:p w14:paraId="0931E3D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Las actividades industriales y de servicios, así como las que cuentan con antecedentes de extracción de minerales presentan afectación (potencial o constituida en el suelo y el agua subterránea del acuífero somero)</w:t>
            </w:r>
          </w:p>
        </w:tc>
      </w:tr>
      <w:tr w:rsidR="00284AC3" w14:paraId="5B549A3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64AA0885"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 xml:space="preserve">Componentes </w:t>
            </w:r>
          </w:p>
        </w:tc>
        <w:tc>
          <w:tcPr>
            <w:tcW w:w="1687" w:type="dxa"/>
            <w:tcBorders>
              <w:top w:val="nil"/>
              <w:left w:val="nil"/>
              <w:bottom w:val="single" w:sz="4" w:space="0" w:color="auto"/>
              <w:right w:val="single" w:sz="4" w:space="0" w:color="auto"/>
            </w:tcBorders>
            <w:vAlign w:val="bottom"/>
            <w:hideMark/>
          </w:tcPr>
          <w:p w14:paraId="6A15D40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a partir de documentos de instrumentos técnicos de evaluación, control y seguimiento ambiental.</w:t>
            </w:r>
          </w:p>
        </w:tc>
        <w:tc>
          <w:tcPr>
            <w:tcW w:w="1573" w:type="dxa"/>
            <w:tcBorders>
              <w:top w:val="nil"/>
              <w:left w:val="nil"/>
              <w:bottom w:val="single" w:sz="4" w:space="0" w:color="auto"/>
              <w:right w:val="single" w:sz="4" w:space="0" w:color="auto"/>
            </w:tcBorders>
            <w:vAlign w:val="center"/>
            <w:hideMark/>
          </w:tcPr>
          <w:p w14:paraId="6274A24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2F8185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16FAFD8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35DC31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4E0DDA2A"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57AD46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bottom"/>
            <w:hideMark/>
          </w:tcPr>
          <w:p w14:paraId="2D6886D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22"/>
                <w:szCs w:val="22"/>
              </w:rPr>
              <w:t>Servicios de información implementados</w:t>
            </w:r>
          </w:p>
        </w:tc>
        <w:tc>
          <w:tcPr>
            <w:tcW w:w="1573" w:type="dxa"/>
            <w:tcBorders>
              <w:top w:val="nil"/>
              <w:left w:val="nil"/>
              <w:bottom w:val="single" w:sz="4" w:space="0" w:color="auto"/>
              <w:right w:val="single" w:sz="4" w:space="0" w:color="auto"/>
            </w:tcBorders>
            <w:vAlign w:val="center"/>
            <w:hideMark/>
          </w:tcPr>
          <w:p w14:paraId="1E0A46B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0B48AFEF"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7E920D2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4410A8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3A7F4617" w14:textId="77777777" w:rsidTr="00284AC3">
        <w:trPr>
          <w:trHeight w:val="762"/>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4776C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Actividades del proyecto</w:t>
            </w:r>
          </w:p>
        </w:tc>
        <w:tc>
          <w:tcPr>
            <w:tcW w:w="1687" w:type="dxa"/>
            <w:tcBorders>
              <w:top w:val="single" w:sz="4" w:space="0" w:color="auto"/>
              <w:left w:val="nil"/>
              <w:bottom w:val="single" w:sz="4" w:space="0" w:color="auto"/>
              <w:right w:val="single" w:sz="4" w:space="0" w:color="auto"/>
            </w:tcBorders>
            <w:vAlign w:val="center"/>
            <w:hideMark/>
          </w:tcPr>
          <w:p w14:paraId="748E26A2"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215 actividades de evaluación, control y seguimiento como mínimo, a predios identificados como sitios potencialmente contaminados, sitios contaminados o con pasivos ambientales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C6D1B2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desarrollo de actividades industriales y de servicios.</w:t>
            </w:r>
          </w:p>
        </w:tc>
        <w:tc>
          <w:tcPr>
            <w:tcW w:w="1527" w:type="dxa"/>
            <w:tcBorders>
              <w:top w:val="single" w:sz="4" w:space="0" w:color="auto"/>
              <w:left w:val="nil"/>
              <w:bottom w:val="single" w:sz="4" w:space="0" w:color="auto"/>
              <w:right w:val="single" w:sz="4" w:space="0" w:color="auto"/>
            </w:tcBorders>
            <w:vAlign w:val="center"/>
            <w:hideMark/>
          </w:tcPr>
          <w:p w14:paraId="50B661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 xml:space="preserve">-Actuaciones administrativas de </w:t>
            </w:r>
            <w:r>
              <w:rPr>
                <w:rFonts w:ascii="Times New Roman" w:hAnsi="Times New Roman"/>
                <w:color w:val="000000"/>
                <w:sz w:val="16"/>
                <w:szCs w:val="16"/>
              </w:rPr>
              <w:lastRenderedPageBreak/>
              <w:t>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FBEEC0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5A70F54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7DFD5079"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FB0C64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7BB2AD0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Ejecutar 567 actividades de evaluación, control y seguimiento como mínimo, a predios que realizan o realizaron almacenamiento y distribución de hidrocarburos líquidos derivados del petróleo en el Distrito Capital</w:t>
            </w:r>
          </w:p>
        </w:tc>
        <w:tc>
          <w:tcPr>
            <w:tcW w:w="1573" w:type="dxa"/>
            <w:tcBorders>
              <w:top w:val="single" w:sz="4" w:space="0" w:color="auto"/>
              <w:left w:val="nil"/>
              <w:bottom w:val="single" w:sz="4" w:space="0" w:color="auto"/>
              <w:right w:val="single" w:sz="4" w:space="0" w:color="auto"/>
            </w:tcBorders>
            <w:vAlign w:val="center"/>
            <w:hideMark/>
          </w:tcPr>
          <w:p w14:paraId="10A4408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almacenamiento y distribución de hidrocarburos líquidos.</w:t>
            </w:r>
          </w:p>
        </w:tc>
        <w:tc>
          <w:tcPr>
            <w:tcW w:w="1527" w:type="dxa"/>
            <w:tcBorders>
              <w:top w:val="single" w:sz="4" w:space="0" w:color="auto"/>
              <w:left w:val="nil"/>
              <w:bottom w:val="single" w:sz="4" w:space="0" w:color="auto"/>
              <w:right w:val="single" w:sz="4" w:space="0" w:color="auto"/>
            </w:tcBorders>
            <w:vAlign w:val="center"/>
            <w:hideMark/>
          </w:tcPr>
          <w:p w14:paraId="084C5F6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4F3A1AA"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18DF50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6E79D2AE"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A0530BC"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342B8306"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218 actividades de evaluación, control y seguimiento como mínimo, a predios afectados por la actividad extractiva de minerales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44E583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Predios diagnosticados con actividades de evaluación, control y seguimiento ambiental, asociados al desarrollo de actividades de extracción de minerales. </w:t>
            </w:r>
          </w:p>
        </w:tc>
        <w:tc>
          <w:tcPr>
            <w:tcW w:w="1527" w:type="dxa"/>
            <w:tcBorders>
              <w:top w:val="single" w:sz="4" w:space="0" w:color="auto"/>
              <w:left w:val="nil"/>
              <w:bottom w:val="single" w:sz="4" w:space="0" w:color="auto"/>
              <w:right w:val="single" w:sz="4" w:space="0" w:color="auto"/>
            </w:tcBorders>
            <w:vAlign w:val="center"/>
            <w:hideMark/>
          </w:tcPr>
          <w:p w14:paraId="4C9B2A6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7B72F0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994D9F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r>
      <w:tr w:rsidR="00284AC3" w14:paraId="67F210F6"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2945F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1129A5B"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Atender 100% de los conceptos técnicos que recomiendan actuaciones administrativas sancionatorias durante la vigencia para mejorar la eficiencia del proceso sancionatorio ambiental</w:t>
            </w:r>
          </w:p>
        </w:tc>
        <w:tc>
          <w:tcPr>
            <w:tcW w:w="1573" w:type="dxa"/>
            <w:tcBorders>
              <w:top w:val="nil"/>
              <w:left w:val="nil"/>
              <w:bottom w:val="single" w:sz="4" w:space="0" w:color="auto"/>
              <w:right w:val="single" w:sz="4" w:space="0" w:color="auto"/>
            </w:tcBorders>
            <w:vAlign w:val="center"/>
            <w:hideMark/>
          </w:tcPr>
          <w:p w14:paraId="61B86A5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Número de Conceptos Técnicos que evidencian afectación ambiental / Número de Conceptos Técnicos acogidos jurídicamente</w:t>
            </w:r>
          </w:p>
        </w:tc>
        <w:tc>
          <w:tcPr>
            <w:tcW w:w="1527" w:type="dxa"/>
            <w:tcBorders>
              <w:top w:val="nil"/>
              <w:left w:val="nil"/>
              <w:bottom w:val="single" w:sz="4" w:space="0" w:color="auto"/>
              <w:right w:val="single" w:sz="4" w:space="0" w:color="auto"/>
            </w:tcBorders>
            <w:vAlign w:val="center"/>
            <w:hideMark/>
          </w:tcPr>
          <w:p w14:paraId="7AD3E71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carácter sancionatorio que acogen conceptos técnicos que presentan evidencias de afectación al suelo y el agua subterránea del acuífero somero.</w:t>
            </w:r>
          </w:p>
        </w:tc>
        <w:tc>
          <w:tcPr>
            <w:tcW w:w="1550" w:type="dxa"/>
            <w:tcBorders>
              <w:top w:val="nil"/>
              <w:left w:val="nil"/>
              <w:bottom w:val="single" w:sz="4" w:space="0" w:color="auto"/>
              <w:right w:val="single" w:sz="4" w:space="0" w:color="auto"/>
            </w:tcBorders>
            <w:vAlign w:val="center"/>
            <w:hideMark/>
          </w:tcPr>
          <w:p w14:paraId="2E56322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Contaminación del suelo y acuífero subterráneo somero en predios que desarrollan actividades industriales y de servicios y pérdida de las condiciones físicas y estructurales en los suelos </w:t>
            </w:r>
            <w:r>
              <w:rPr>
                <w:rFonts w:ascii="Times New Roman" w:hAnsi="Times New Roman"/>
                <w:color w:val="000000"/>
                <w:sz w:val="16"/>
                <w:szCs w:val="16"/>
              </w:rPr>
              <w:lastRenderedPageBreak/>
              <w:t>degradados por extracción de minerales.</w:t>
            </w:r>
          </w:p>
        </w:tc>
        <w:tc>
          <w:tcPr>
            <w:tcW w:w="1550" w:type="dxa"/>
            <w:tcBorders>
              <w:top w:val="nil"/>
              <w:left w:val="nil"/>
              <w:bottom w:val="single" w:sz="4" w:space="0" w:color="auto"/>
              <w:right w:val="single" w:sz="4" w:space="0" w:color="auto"/>
            </w:tcBorders>
            <w:vAlign w:val="center"/>
            <w:hideMark/>
          </w:tcPr>
          <w:p w14:paraId="3BCDF9B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 xml:space="preserve">Las actividades industriales y de servicios, así como las que cuentan con antecedentes de extracción de minerales presentan afectación (potencial o constituida en el suelo y el agua </w:t>
            </w:r>
            <w:r>
              <w:rPr>
                <w:rFonts w:ascii="Times New Roman" w:hAnsi="Times New Roman"/>
                <w:color w:val="000000"/>
                <w:sz w:val="16"/>
                <w:szCs w:val="16"/>
              </w:rPr>
              <w:lastRenderedPageBreak/>
              <w:t>subterránea del acuífero somero)</w:t>
            </w:r>
          </w:p>
        </w:tc>
      </w:tr>
      <w:tr w:rsidR="00284AC3" w14:paraId="678FEC3D"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C8196A4"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27CF349"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Desarrollar e implementar el 100% de un modelo conceptual de captura de información sobre características del suelo en sitios con afectación (potencial y configurada) al suelo y/o agua subterránea del acuífero somero.</w:t>
            </w:r>
          </w:p>
        </w:tc>
        <w:tc>
          <w:tcPr>
            <w:tcW w:w="1573" w:type="dxa"/>
            <w:tcBorders>
              <w:top w:val="nil"/>
              <w:left w:val="nil"/>
              <w:bottom w:val="single" w:sz="4" w:space="0" w:color="auto"/>
              <w:right w:val="single" w:sz="4" w:space="0" w:color="auto"/>
            </w:tcBorders>
            <w:vAlign w:val="center"/>
            <w:hideMark/>
          </w:tcPr>
          <w:p w14:paraId="2E8E0BF7"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Avance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1A6DD16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020751F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6DE0E3C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bl>
    <w:bookmarkEnd w:id="18"/>
    <w:p w14:paraId="1766DCEB" w14:textId="77777777"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Pr="00284AC3" w:rsidRDefault="00F550E3">
      <w:pPr>
        <w:pBdr>
          <w:top w:val="nil"/>
          <w:left w:val="nil"/>
          <w:bottom w:val="nil"/>
          <w:right w:val="nil"/>
          <w:between w:val="nil"/>
        </w:pBdr>
        <w:ind w:left="1140" w:hanging="708"/>
        <w:jc w:val="left"/>
        <w:rPr>
          <w:rFonts w:ascii="Times New Roman" w:hAnsi="Times New Roman"/>
          <w:color w:val="000000"/>
          <w:sz w:val="22"/>
          <w:szCs w:val="22"/>
        </w:rPr>
      </w:pPr>
    </w:p>
    <w:p w14:paraId="2F5B9AC4"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Nombre: Reinado Gélvez Gutiérrez</w:t>
      </w:r>
    </w:p>
    <w:p w14:paraId="684D29D7"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 xml:space="preserve">Cargo: </w:t>
      </w:r>
      <w:proofErr w:type="gramStart"/>
      <w:r w:rsidRPr="00284AC3">
        <w:rPr>
          <w:rFonts w:ascii="Times New Roman" w:hAnsi="Times New Roman"/>
          <w:sz w:val="22"/>
          <w:szCs w:val="22"/>
        </w:rPr>
        <w:t>Subdirector</w:t>
      </w:r>
      <w:proofErr w:type="gramEnd"/>
      <w:r w:rsidRPr="00284AC3">
        <w:rPr>
          <w:rFonts w:ascii="Times New Roman" w:hAnsi="Times New Roman"/>
          <w:sz w:val="22"/>
          <w:szCs w:val="22"/>
        </w:rPr>
        <w:t xml:space="preserve"> del Recurso Hídrico y del Suelo</w:t>
      </w:r>
    </w:p>
    <w:p w14:paraId="734B18BC"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Correo: reinaldo.gelvez@ambientabogota.gov.co</w:t>
      </w:r>
    </w:p>
    <w:p w14:paraId="2300D943" w14:textId="77777777" w:rsidR="00284AC3" w:rsidRPr="00284AC3" w:rsidRDefault="00284AC3" w:rsidP="00284AC3">
      <w:pPr>
        <w:ind w:firstLine="708"/>
        <w:jc w:val="left"/>
        <w:rPr>
          <w:rFonts w:ascii="Times New Roman" w:hAnsi="Times New Roman"/>
          <w:szCs w:val="24"/>
          <w:lang w:eastAsia="es-CO"/>
        </w:rPr>
      </w:pPr>
      <w:r w:rsidRPr="00284AC3">
        <w:rPr>
          <w:rFonts w:ascii="Times New Roman" w:hAnsi="Times New Roman"/>
          <w:sz w:val="22"/>
          <w:szCs w:val="22"/>
        </w:rPr>
        <w:t>Teléfono: 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C7BD0" w14:textId="77777777" w:rsidR="00BA05D1" w:rsidRDefault="00BA05D1">
      <w:r>
        <w:separator/>
      </w:r>
    </w:p>
  </w:endnote>
  <w:endnote w:type="continuationSeparator" w:id="0">
    <w:p w14:paraId="2331CE88" w14:textId="77777777" w:rsidR="00BA05D1" w:rsidRDefault="00BA0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6894F" w14:textId="77777777" w:rsidR="00BA05D1" w:rsidRDefault="00BA05D1">
      <w:r>
        <w:separator/>
      </w:r>
    </w:p>
  </w:footnote>
  <w:footnote w:type="continuationSeparator" w:id="0">
    <w:p w14:paraId="7F887F4E" w14:textId="77777777" w:rsidR="00BA05D1" w:rsidRDefault="00BA05D1">
      <w:r>
        <w:continuationSeparator/>
      </w:r>
    </w:p>
  </w:footnote>
  <w:footnote w:id="1">
    <w:p w14:paraId="21D32569" w14:textId="77777777" w:rsidR="00F43271" w:rsidRDefault="00F43271" w:rsidP="00284AC3">
      <w:pPr>
        <w:pStyle w:val="Textonotapie"/>
        <w:rPr>
          <w:lang w:eastAsia="x-none"/>
        </w:rPr>
      </w:pPr>
      <w:r>
        <w:rPr>
          <w:rStyle w:val="Refdenotaalpie"/>
        </w:rPr>
        <w:footnoteRef/>
      </w:r>
      <w:hyperlink r:id="rId1" w:history="1">
        <w:r>
          <w:rPr>
            <w:rStyle w:val="Hipervnculo"/>
            <w:rFonts w:ascii="Times New Roman" w:hAnsi="Times New Roman"/>
            <w:lang w:eastAsia="es-CO"/>
          </w:rPr>
          <w:t>https://static1.squarespace.com/static/52d71403e4b06286127a1d48/t/58124609e4fcb53575c21828/1477592586405/costo+estimado+13+Julio+2016.pdf</w:t>
        </w:r>
      </w:hyperlink>
      <w:r>
        <w:rPr>
          <w:rFonts w:ascii="Times New Roman" w:hAnsi="Times New Roman"/>
          <w:lang w:eastAsia="es-CO"/>
        </w:rPr>
        <w:t xml:space="preserve"> y </w:t>
      </w:r>
      <w:hyperlink r:id="rId2" w:history="1">
        <w:r>
          <w:rPr>
            <w:rStyle w:val="Hipervnculo"/>
          </w:rPr>
          <w:t>https://fch.cl/wp-content/uploads/2019/10/manual-de-tecnologias-de-remediacion-de-sitios-contaminados_baja-1.pdf</w:t>
        </w:r>
      </w:hyperlink>
      <w:r>
        <w:rPr>
          <w:rStyle w:val="Hipervncul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F43271"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F43271" w:rsidRDefault="00F43271"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F43271" w:rsidRDefault="00F43271" w:rsidP="005F55ED">
          <w:pPr>
            <w:pStyle w:val="Encabezado"/>
            <w:tabs>
              <w:tab w:val="left" w:pos="1275"/>
            </w:tabs>
            <w:ind w:left="420"/>
            <w:jc w:val="center"/>
            <w:rPr>
              <w:rFonts w:cs="Arial"/>
              <w:b/>
              <w:szCs w:val="18"/>
            </w:rPr>
          </w:pPr>
          <w:r>
            <w:rPr>
              <w:rFonts w:cs="Arial"/>
              <w:b/>
            </w:rPr>
            <w:t>DIRECCIONAMIENTO ESTRATÉGICO</w:t>
          </w:r>
        </w:p>
      </w:tc>
    </w:tr>
    <w:tr w:rsidR="00F43271"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F43271" w:rsidRDefault="00F43271"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F43271" w:rsidRDefault="00F43271" w:rsidP="005F55ED">
          <w:pPr>
            <w:pStyle w:val="Encabezado"/>
            <w:rPr>
              <w:rFonts w:cs="Arial"/>
              <w:b/>
              <w:szCs w:val="18"/>
            </w:rPr>
          </w:pPr>
          <w:r>
            <w:rPr>
              <w:szCs w:val="18"/>
            </w:rPr>
            <w:t>Formato: Documento de formulación proyecto de inversión</w:t>
          </w:r>
          <w:r>
            <w:rPr>
              <w:rFonts w:cs="Arial"/>
              <w:sz w:val="17"/>
              <w:szCs w:val="17"/>
            </w:rPr>
            <w:t> </w:t>
          </w:r>
        </w:p>
      </w:tc>
    </w:tr>
    <w:tr w:rsidR="00F43271"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F43271" w:rsidRDefault="00F43271"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F43271" w:rsidRDefault="00F43271"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F43271" w:rsidRDefault="00F43271" w:rsidP="001E375F">
          <w:pPr>
            <w:pStyle w:val="Encabezado"/>
            <w:rPr>
              <w:rFonts w:cs="Arial"/>
              <w:szCs w:val="18"/>
            </w:rPr>
          </w:pPr>
          <w:r>
            <w:rPr>
              <w:rFonts w:cs="Arial"/>
              <w:szCs w:val="18"/>
            </w:rPr>
            <w:t xml:space="preserve"> Versión: 12</w:t>
          </w:r>
        </w:p>
      </w:tc>
    </w:tr>
  </w:tbl>
  <w:p w14:paraId="467E09E7" w14:textId="77777777" w:rsidR="00F43271" w:rsidRDefault="00F43271" w:rsidP="005F55ED">
    <w:pPr>
      <w:pStyle w:val="Encabezado"/>
      <w:jc w:val="center"/>
      <w:rPr>
        <w:rFonts w:cs="Arial"/>
        <w:b/>
        <w:bCs/>
        <w:lang w:eastAsia="x-none"/>
      </w:rPr>
    </w:pPr>
  </w:p>
  <w:p w14:paraId="298E60FF" w14:textId="58534586" w:rsidR="00F43271" w:rsidRDefault="00F432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7336E2E"/>
    <w:multiLevelType w:val="hybridMultilevel"/>
    <w:tmpl w:val="69707C2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F310019"/>
    <w:multiLevelType w:val="hybridMultilevel"/>
    <w:tmpl w:val="3ACAB2F6"/>
    <w:lvl w:ilvl="0" w:tplc="B2D62AF4">
      <w:start w:val="1"/>
      <w:numFmt w:val="bullet"/>
      <w:lvlText w:val="-"/>
      <w:lvlJc w:val="left"/>
      <w:pPr>
        <w:ind w:left="720" w:hanging="360"/>
      </w:pPr>
      <w:rPr>
        <w:rFonts w:ascii="Arial" w:eastAsiaTheme="minorHAnsi" w:hAnsi="Arial" w:cs="Arial" w:hint="default"/>
      </w:rPr>
    </w:lvl>
    <w:lvl w:ilvl="1" w:tplc="5E52F56E">
      <w:start w:val="1"/>
      <w:numFmt w:val="bullet"/>
      <w:lvlText w:val="o"/>
      <w:lvlJc w:val="left"/>
      <w:pPr>
        <w:ind w:left="1440" w:hanging="360"/>
      </w:pPr>
      <w:rPr>
        <w:rFonts w:ascii="Courier New" w:hAnsi="Courier New" w:cs="Courier New" w:hint="default"/>
      </w:rPr>
    </w:lvl>
    <w:lvl w:ilvl="2" w:tplc="3AEA71EC">
      <w:start w:val="1"/>
      <w:numFmt w:val="bullet"/>
      <w:lvlText w:val=""/>
      <w:lvlJc w:val="left"/>
      <w:pPr>
        <w:ind w:left="2160" w:hanging="360"/>
      </w:pPr>
      <w:rPr>
        <w:rFonts w:ascii="Wingdings" w:hAnsi="Wingdings" w:hint="default"/>
      </w:rPr>
    </w:lvl>
    <w:lvl w:ilvl="3" w:tplc="EB6E57EC">
      <w:start w:val="1"/>
      <w:numFmt w:val="bullet"/>
      <w:lvlText w:val=""/>
      <w:lvlJc w:val="left"/>
      <w:pPr>
        <w:ind w:left="2880" w:hanging="360"/>
      </w:pPr>
      <w:rPr>
        <w:rFonts w:ascii="Symbol" w:hAnsi="Symbol" w:hint="default"/>
      </w:rPr>
    </w:lvl>
    <w:lvl w:ilvl="4" w:tplc="5C221F74">
      <w:start w:val="1"/>
      <w:numFmt w:val="bullet"/>
      <w:lvlText w:val="o"/>
      <w:lvlJc w:val="left"/>
      <w:pPr>
        <w:ind w:left="3600" w:hanging="360"/>
      </w:pPr>
      <w:rPr>
        <w:rFonts w:ascii="Courier New" w:hAnsi="Courier New" w:cs="Courier New" w:hint="default"/>
      </w:rPr>
    </w:lvl>
    <w:lvl w:ilvl="5" w:tplc="297CEE4E">
      <w:start w:val="1"/>
      <w:numFmt w:val="bullet"/>
      <w:lvlText w:val=""/>
      <w:lvlJc w:val="left"/>
      <w:pPr>
        <w:ind w:left="4320" w:hanging="360"/>
      </w:pPr>
      <w:rPr>
        <w:rFonts w:ascii="Wingdings" w:hAnsi="Wingdings" w:hint="default"/>
      </w:rPr>
    </w:lvl>
    <w:lvl w:ilvl="6" w:tplc="B2782B00">
      <w:start w:val="1"/>
      <w:numFmt w:val="bullet"/>
      <w:lvlText w:val=""/>
      <w:lvlJc w:val="left"/>
      <w:pPr>
        <w:ind w:left="5040" w:hanging="360"/>
      </w:pPr>
      <w:rPr>
        <w:rFonts w:ascii="Symbol" w:hAnsi="Symbol" w:hint="default"/>
      </w:rPr>
    </w:lvl>
    <w:lvl w:ilvl="7" w:tplc="0866AAB2">
      <w:start w:val="1"/>
      <w:numFmt w:val="bullet"/>
      <w:lvlText w:val="o"/>
      <w:lvlJc w:val="left"/>
      <w:pPr>
        <w:ind w:left="5760" w:hanging="360"/>
      </w:pPr>
      <w:rPr>
        <w:rFonts w:ascii="Courier New" w:hAnsi="Courier New" w:cs="Courier New" w:hint="default"/>
      </w:rPr>
    </w:lvl>
    <w:lvl w:ilvl="8" w:tplc="E4AE9F62">
      <w:start w:val="1"/>
      <w:numFmt w:val="bullet"/>
      <w:lvlText w:val=""/>
      <w:lvlJc w:val="left"/>
      <w:pPr>
        <w:ind w:left="6480" w:hanging="360"/>
      </w:pPr>
      <w:rPr>
        <w:rFonts w:ascii="Wingdings" w:hAnsi="Wingdings" w:hint="default"/>
      </w:rPr>
    </w:lvl>
  </w:abstractNum>
  <w:abstractNum w:abstractNumId="4"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6"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9186522"/>
    <w:multiLevelType w:val="hybridMultilevel"/>
    <w:tmpl w:val="7256D7A6"/>
    <w:lvl w:ilvl="0" w:tplc="10224AAE">
      <w:start w:val="8"/>
      <w:numFmt w:val="bullet"/>
      <w:lvlText w:val=""/>
      <w:lvlJc w:val="left"/>
      <w:pPr>
        <w:ind w:left="644" w:hanging="360"/>
      </w:pPr>
      <w:rPr>
        <w:rFonts w:ascii="Symbol" w:eastAsia="Arial" w:hAnsi="Symbol" w:cs="Arial" w:hint="default"/>
      </w:rPr>
    </w:lvl>
    <w:lvl w:ilvl="1" w:tplc="58AC2CD0">
      <w:start w:val="1"/>
      <w:numFmt w:val="bullet"/>
      <w:lvlText w:val="o"/>
      <w:lvlJc w:val="left"/>
      <w:pPr>
        <w:ind w:left="1364" w:hanging="360"/>
      </w:pPr>
      <w:rPr>
        <w:rFonts w:ascii="Courier New" w:hAnsi="Courier New" w:cs="Courier New" w:hint="default"/>
      </w:rPr>
    </w:lvl>
    <w:lvl w:ilvl="2" w:tplc="9E6C11BE">
      <w:start w:val="1"/>
      <w:numFmt w:val="bullet"/>
      <w:lvlText w:val=""/>
      <w:lvlJc w:val="left"/>
      <w:pPr>
        <w:ind w:left="2084" w:hanging="360"/>
      </w:pPr>
      <w:rPr>
        <w:rFonts w:ascii="Wingdings" w:hAnsi="Wingdings" w:hint="default"/>
      </w:rPr>
    </w:lvl>
    <w:lvl w:ilvl="3" w:tplc="0C5EC3B2">
      <w:start w:val="1"/>
      <w:numFmt w:val="bullet"/>
      <w:lvlText w:val=""/>
      <w:lvlJc w:val="left"/>
      <w:pPr>
        <w:ind w:left="2804" w:hanging="360"/>
      </w:pPr>
      <w:rPr>
        <w:rFonts w:ascii="Symbol" w:hAnsi="Symbol" w:hint="default"/>
      </w:rPr>
    </w:lvl>
    <w:lvl w:ilvl="4" w:tplc="0E1A5B4A">
      <w:start w:val="1"/>
      <w:numFmt w:val="bullet"/>
      <w:lvlText w:val="o"/>
      <w:lvlJc w:val="left"/>
      <w:pPr>
        <w:ind w:left="3524" w:hanging="360"/>
      </w:pPr>
      <w:rPr>
        <w:rFonts w:ascii="Courier New" w:hAnsi="Courier New" w:cs="Courier New" w:hint="default"/>
      </w:rPr>
    </w:lvl>
    <w:lvl w:ilvl="5" w:tplc="7CECE342">
      <w:start w:val="1"/>
      <w:numFmt w:val="bullet"/>
      <w:lvlText w:val=""/>
      <w:lvlJc w:val="left"/>
      <w:pPr>
        <w:ind w:left="4244" w:hanging="360"/>
      </w:pPr>
      <w:rPr>
        <w:rFonts w:ascii="Wingdings" w:hAnsi="Wingdings" w:hint="default"/>
      </w:rPr>
    </w:lvl>
    <w:lvl w:ilvl="6" w:tplc="D80601C6">
      <w:start w:val="1"/>
      <w:numFmt w:val="bullet"/>
      <w:lvlText w:val=""/>
      <w:lvlJc w:val="left"/>
      <w:pPr>
        <w:ind w:left="4964" w:hanging="360"/>
      </w:pPr>
      <w:rPr>
        <w:rFonts w:ascii="Symbol" w:hAnsi="Symbol" w:hint="default"/>
      </w:rPr>
    </w:lvl>
    <w:lvl w:ilvl="7" w:tplc="796EF1DC">
      <w:start w:val="1"/>
      <w:numFmt w:val="bullet"/>
      <w:lvlText w:val="o"/>
      <w:lvlJc w:val="left"/>
      <w:pPr>
        <w:ind w:left="5684" w:hanging="360"/>
      </w:pPr>
      <w:rPr>
        <w:rFonts w:ascii="Courier New" w:hAnsi="Courier New" w:cs="Courier New" w:hint="default"/>
      </w:rPr>
    </w:lvl>
    <w:lvl w:ilvl="8" w:tplc="109467F2">
      <w:start w:val="1"/>
      <w:numFmt w:val="bullet"/>
      <w:lvlText w:val=""/>
      <w:lvlJc w:val="left"/>
      <w:pPr>
        <w:ind w:left="6404" w:hanging="360"/>
      </w:pPr>
      <w:rPr>
        <w:rFonts w:ascii="Wingdings" w:hAnsi="Wingding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203F58C0"/>
    <w:multiLevelType w:val="hybridMultilevel"/>
    <w:tmpl w:val="8DB62B4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5" w15:restartNumberingAfterBreak="0">
    <w:nsid w:val="365F1D6C"/>
    <w:multiLevelType w:val="hybridMultilevel"/>
    <w:tmpl w:val="B96CD472"/>
    <w:lvl w:ilvl="0" w:tplc="E1D89992">
      <w:start w:val="1"/>
      <w:numFmt w:val="bullet"/>
      <w:lvlText w:val="-"/>
      <w:lvlJc w:val="left"/>
      <w:pPr>
        <w:ind w:left="1440" w:hanging="360"/>
      </w:pPr>
      <w:rPr>
        <w:rFonts w:ascii="Calibri" w:hAnsi="Calibri" w:cs="Times New Roman"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6" w15:restartNumberingAfterBreak="0">
    <w:nsid w:val="36843342"/>
    <w:multiLevelType w:val="hybridMultilevel"/>
    <w:tmpl w:val="6780F6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379C0C8E"/>
    <w:multiLevelType w:val="multilevel"/>
    <w:tmpl w:val="88D03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0" w15:restartNumberingAfterBreak="0">
    <w:nsid w:val="41AC2272"/>
    <w:multiLevelType w:val="hybridMultilevel"/>
    <w:tmpl w:val="5B3A4924"/>
    <w:lvl w:ilvl="0" w:tplc="E1D89992">
      <w:start w:val="1"/>
      <w:numFmt w:val="bullet"/>
      <w:lvlText w:val="-"/>
      <w:lvlJc w:val="left"/>
      <w:pPr>
        <w:ind w:left="1776" w:hanging="360"/>
      </w:pPr>
      <w:rPr>
        <w:rFonts w:ascii="Calibri" w:hAnsi="Calibri" w:cs="Times New Roman" w:hint="default"/>
      </w:rPr>
    </w:lvl>
    <w:lvl w:ilvl="1" w:tplc="A1D04BF6">
      <w:start w:val="1"/>
      <w:numFmt w:val="lowerLetter"/>
      <w:lvlText w:val="%2."/>
      <w:lvlJc w:val="left"/>
      <w:pPr>
        <w:ind w:left="2496" w:hanging="360"/>
      </w:pPr>
      <w:rPr>
        <w:rFonts w:ascii="Calibri" w:eastAsia="Times New Roman" w:hAnsi="Calibri" w:cs="Calibri"/>
      </w:rPr>
    </w:lvl>
    <w:lvl w:ilvl="2" w:tplc="240A001B">
      <w:start w:val="1"/>
      <w:numFmt w:val="lowerRoman"/>
      <w:lvlText w:val="%3."/>
      <w:lvlJc w:val="right"/>
      <w:pPr>
        <w:ind w:left="3216" w:hanging="180"/>
      </w:pPr>
    </w:lvl>
    <w:lvl w:ilvl="3" w:tplc="240A000F">
      <w:start w:val="1"/>
      <w:numFmt w:val="decimal"/>
      <w:lvlText w:val="%4."/>
      <w:lvlJc w:val="left"/>
      <w:pPr>
        <w:ind w:left="3936" w:hanging="360"/>
      </w:pPr>
    </w:lvl>
    <w:lvl w:ilvl="4" w:tplc="240A0019">
      <w:start w:val="1"/>
      <w:numFmt w:val="lowerLetter"/>
      <w:lvlText w:val="%5."/>
      <w:lvlJc w:val="left"/>
      <w:pPr>
        <w:ind w:left="4656" w:hanging="360"/>
      </w:pPr>
    </w:lvl>
    <w:lvl w:ilvl="5" w:tplc="240A001B">
      <w:start w:val="1"/>
      <w:numFmt w:val="lowerRoman"/>
      <w:lvlText w:val="%6."/>
      <w:lvlJc w:val="right"/>
      <w:pPr>
        <w:ind w:left="5376" w:hanging="180"/>
      </w:pPr>
    </w:lvl>
    <w:lvl w:ilvl="6" w:tplc="240A000F">
      <w:start w:val="1"/>
      <w:numFmt w:val="decimal"/>
      <w:lvlText w:val="%7."/>
      <w:lvlJc w:val="left"/>
      <w:pPr>
        <w:ind w:left="6096" w:hanging="360"/>
      </w:pPr>
    </w:lvl>
    <w:lvl w:ilvl="7" w:tplc="240A0019">
      <w:start w:val="1"/>
      <w:numFmt w:val="lowerLetter"/>
      <w:lvlText w:val="%8."/>
      <w:lvlJc w:val="left"/>
      <w:pPr>
        <w:ind w:left="6816" w:hanging="360"/>
      </w:pPr>
    </w:lvl>
    <w:lvl w:ilvl="8" w:tplc="240A001B">
      <w:start w:val="1"/>
      <w:numFmt w:val="lowerRoman"/>
      <w:lvlText w:val="%9."/>
      <w:lvlJc w:val="right"/>
      <w:pPr>
        <w:ind w:left="7536" w:hanging="180"/>
      </w:pPr>
    </w:lvl>
  </w:abstractNum>
  <w:abstractNum w:abstractNumId="21"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CA1726"/>
    <w:multiLevelType w:val="hybridMultilevel"/>
    <w:tmpl w:val="9D2E56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4E0966EA"/>
    <w:multiLevelType w:val="hybridMultilevel"/>
    <w:tmpl w:val="F9C6BC5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5" w15:restartNumberingAfterBreak="0">
    <w:nsid w:val="57E6489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590D1A63"/>
    <w:multiLevelType w:val="hybridMultilevel"/>
    <w:tmpl w:val="FFF884C6"/>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A872A95"/>
    <w:multiLevelType w:val="hybridMultilevel"/>
    <w:tmpl w:val="0116E9DE"/>
    <w:lvl w:ilvl="0" w:tplc="240A0001">
      <w:start w:val="1"/>
      <w:numFmt w:val="bullet"/>
      <w:lvlText w:val=""/>
      <w:lvlJc w:val="left"/>
      <w:pPr>
        <w:ind w:left="720" w:hanging="360"/>
      </w:pPr>
      <w:rPr>
        <w:rFonts w:ascii="Symbol" w:hAnsi="Symbol"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5B5B02FB"/>
    <w:multiLevelType w:val="hybridMultilevel"/>
    <w:tmpl w:val="0C382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5EDF577B"/>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3B61297"/>
    <w:multiLevelType w:val="hybridMultilevel"/>
    <w:tmpl w:val="A4807128"/>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2"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6958204D"/>
    <w:multiLevelType w:val="hybridMultilevel"/>
    <w:tmpl w:val="DD56DA2C"/>
    <w:lvl w:ilvl="0" w:tplc="C5060BE0">
      <w:numFmt w:val="bullet"/>
      <w:lvlText w:val="-"/>
      <w:lvlJc w:val="left"/>
      <w:pPr>
        <w:ind w:left="720" w:hanging="360"/>
      </w:pPr>
      <w:rPr>
        <w:rFonts w:ascii="Arial Narrow" w:eastAsiaTheme="minorHAnsi" w:hAnsi="Arial Narrow" w:cstheme="minorBidi"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5"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EA21219"/>
    <w:multiLevelType w:val="hybridMultilevel"/>
    <w:tmpl w:val="7858487C"/>
    <w:lvl w:ilvl="0" w:tplc="4C6AEB18">
      <w:start w:val="1"/>
      <w:numFmt w:val="upperRoman"/>
      <w:lvlText w:val="%1."/>
      <w:lvlJc w:val="left"/>
      <w:pPr>
        <w:ind w:left="1146" w:hanging="720"/>
      </w:pPr>
    </w:lvl>
    <w:lvl w:ilvl="1" w:tplc="240A0019">
      <w:start w:val="1"/>
      <w:numFmt w:val="lowerLetter"/>
      <w:lvlText w:val="%2."/>
      <w:lvlJc w:val="left"/>
      <w:pPr>
        <w:ind w:left="1506" w:hanging="360"/>
      </w:pPr>
    </w:lvl>
    <w:lvl w:ilvl="2" w:tplc="240A001B">
      <w:start w:val="1"/>
      <w:numFmt w:val="lowerRoman"/>
      <w:lvlText w:val="%3."/>
      <w:lvlJc w:val="right"/>
      <w:pPr>
        <w:ind w:left="2226" w:hanging="180"/>
      </w:pPr>
    </w:lvl>
    <w:lvl w:ilvl="3" w:tplc="240A000F">
      <w:start w:val="1"/>
      <w:numFmt w:val="decimal"/>
      <w:lvlText w:val="%4."/>
      <w:lvlJc w:val="left"/>
      <w:pPr>
        <w:ind w:left="2946" w:hanging="360"/>
      </w:pPr>
    </w:lvl>
    <w:lvl w:ilvl="4" w:tplc="240A0019">
      <w:start w:val="1"/>
      <w:numFmt w:val="lowerLetter"/>
      <w:lvlText w:val="%5."/>
      <w:lvlJc w:val="left"/>
      <w:pPr>
        <w:ind w:left="3666" w:hanging="360"/>
      </w:pPr>
    </w:lvl>
    <w:lvl w:ilvl="5" w:tplc="240A001B">
      <w:start w:val="1"/>
      <w:numFmt w:val="lowerRoman"/>
      <w:lvlText w:val="%6."/>
      <w:lvlJc w:val="right"/>
      <w:pPr>
        <w:ind w:left="4386" w:hanging="180"/>
      </w:pPr>
    </w:lvl>
    <w:lvl w:ilvl="6" w:tplc="240A000F">
      <w:start w:val="1"/>
      <w:numFmt w:val="decimal"/>
      <w:lvlText w:val="%7."/>
      <w:lvlJc w:val="left"/>
      <w:pPr>
        <w:ind w:left="5106" w:hanging="360"/>
      </w:pPr>
    </w:lvl>
    <w:lvl w:ilvl="7" w:tplc="240A0019">
      <w:start w:val="1"/>
      <w:numFmt w:val="lowerLetter"/>
      <w:lvlText w:val="%8."/>
      <w:lvlJc w:val="left"/>
      <w:pPr>
        <w:ind w:left="5826" w:hanging="360"/>
      </w:pPr>
    </w:lvl>
    <w:lvl w:ilvl="8" w:tplc="240A001B">
      <w:start w:val="1"/>
      <w:numFmt w:val="lowerRoman"/>
      <w:lvlText w:val="%9."/>
      <w:lvlJc w:val="right"/>
      <w:pPr>
        <w:ind w:left="6546" w:hanging="180"/>
      </w:pPr>
    </w:lvl>
  </w:abstractNum>
  <w:abstractNum w:abstractNumId="3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8" w15:restartNumberingAfterBreak="0">
    <w:nsid w:val="73E72799"/>
    <w:multiLevelType w:val="multilevel"/>
    <w:tmpl w:val="944A4A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ED2A2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0"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5824DD7"/>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2"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247585"/>
    <w:multiLevelType w:val="hybridMultilevel"/>
    <w:tmpl w:val="A68261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5" w15:restartNumberingAfterBreak="0">
    <w:nsid w:val="7C121356"/>
    <w:multiLevelType w:val="hybridMultilevel"/>
    <w:tmpl w:val="2244173C"/>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041441115">
    <w:abstractNumId w:val="24"/>
  </w:num>
  <w:num w:numId="2" w16cid:durableId="436557348">
    <w:abstractNumId w:val="19"/>
  </w:num>
  <w:num w:numId="3" w16cid:durableId="617488738">
    <w:abstractNumId w:val="10"/>
  </w:num>
  <w:num w:numId="4" w16cid:durableId="867524735">
    <w:abstractNumId w:val="2"/>
  </w:num>
  <w:num w:numId="5" w16cid:durableId="976490446">
    <w:abstractNumId w:val="37"/>
  </w:num>
  <w:num w:numId="6" w16cid:durableId="1244755098">
    <w:abstractNumId w:val="46"/>
  </w:num>
  <w:num w:numId="7" w16cid:durableId="2906176">
    <w:abstractNumId w:val="7"/>
  </w:num>
  <w:num w:numId="8" w16cid:durableId="59332278">
    <w:abstractNumId w:val="13"/>
  </w:num>
  <w:num w:numId="9" w16cid:durableId="1512723428">
    <w:abstractNumId w:val="42"/>
  </w:num>
  <w:num w:numId="10" w16cid:durableId="1179853606">
    <w:abstractNumId w:val="9"/>
  </w:num>
  <w:num w:numId="11" w16cid:durableId="1839230999">
    <w:abstractNumId w:val="35"/>
  </w:num>
  <w:num w:numId="12" w16cid:durableId="1868059063">
    <w:abstractNumId w:val="4"/>
  </w:num>
  <w:num w:numId="13" w16cid:durableId="925111387">
    <w:abstractNumId w:val="40"/>
  </w:num>
  <w:num w:numId="14" w16cid:durableId="434981190">
    <w:abstractNumId w:val="6"/>
  </w:num>
  <w:num w:numId="15" w16cid:durableId="1285305246">
    <w:abstractNumId w:val="0"/>
  </w:num>
  <w:num w:numId="16" w16cid:durableId="780957836">
    <w:abstractNumId w:val="32"/>
  </w:num>
  <w:num w:numId="17" w16cid:durableId="1167329476">
    <w:abstractNumId w:val="31"/>
  </w:num>
  <w:num w:numId="18" w16cid:durableId="2027170683">
    <w:abstractNumId w:val="5"/>
  </w:num>
  <w:num w:numId="19" w16cid:durableId="1539002309">
    <w:abstractNumId w:val="14"/>
  </w:num>
  <w:num w:numId="20" w16cid:durableId="795220303">
    <w:abstractNumId w:val="17"/>
  </w:num>
  <w:num w:numId="21" w16cid:durableId="1268586399">
    <w:abstractNumId w:val="21"/>
  </w:num>
  <w:num w:numId="22" w16cid:durableId="756289112">
    <w:abstractNumId w:val="44"/>
  </w:num>
  <w:num w:numId="23" w16cid:durableId="1718234595">
    <w:abstractNumId w:val="34"/>
  </w:num>
  <w:num w:numId="24" w16cid:durableId="2111124616">
    <w:abstractNumId w:val="18"/>
  </w:num>
  <w:num w:numId="25" w16cid:durableId="82038439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82388491">
    <w:abstractNumId w:val="30"/>
  </w:num>
  <w:num w:numId="27" w16cid:durableId="149313828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50573596">
    <w:abstractNumId w:val="38"/>
  </w:num>
  <w:num w:numId="29" w16cid:durableId="136844122">
    <w:abstractNumId w:val="8"/>
  </w:num>
  <w:num w:numId="30" w16cid:durableId="1501500713">
    <w:abstractNumId w:val="3"/>
  </w:num>
  <w:num w:numId="31" w16cid:durableId="59270888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8666159">
    <w:abstractNumId w:val="1"/>
  </w:num>
  <w:num w:numId="33" w16cid:durableId="2060127362">
    <w:abstractNumId w:val="23"/>
  </w:num>
  <w:num w:numId="34" w16cid:durableId="825516016">
    <w:abstractNumId w:val="45"/>
  </w:num>
  <w:num w:numId="35" w16cid:durableId="9252692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0084415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88248767">
    <w:abstractNumId w:val="22"/>
  </w:num>
  <w:num w:numId="38" w16cid:durableId="475536848">
    <w:abstractNumId w:val="28"/>
  </w:num>
  <w:num w:numId="39" w16cid:durableId="142818714">
    <w:abstractNumId w:val="43"/>
  </w:num>
  <w:num w:numId="40" w16cid:durableId="1507209577">
    <w:abstractNumId w:val="11"/>
  </w:num>
  <w:num w:numId="41" w16cid:durableId="1462653786">
    <w:abstractNumId w:val="26"/>
  </w:num>
  <w:num w:numId="42" w16cid:durableId="193348663">
    <w:abstractNumId w:val="16"/>
  </w:num>
  <w:num w:numId="43" w16cid:durableId="1821843993">
    <w:abstractNumId w:val="15"/>
  </w:num>
  <w:num w:numId="44" w16cid:durableId="16404507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861668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818743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14377931">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5C81"/>
    <w:rsid w:val="0000630A"/>
    <w:rsid w:val="00011FDB"/>
    <w:rsid w:val="00013089"/>
    <w:rsid w:val="000146DA"/>
    <w:rsid w:val="00022E3E"/>
    <w:rsid w:val="00024CB4"/>
    <w:rsid w:val="00027674"/>
    <w:rsid w:val="00040B5A"/>
    <w:rsid w:val="00041216"/>
    <w:rsid w:val="0004425C"/>
    <w:rsid w:val="00050748"/>
    <w:rsid w:val="00051239"/>
    <w:rsid w:val="0005376C"/>
    <w:rsid w:val="00056D7C"/>
    <w:rsid w:val="00056EB0"/>
    <w:rsid w:val="000575DC"/>
    <w:rsid w:val="0006190C"/>
    <w:rsid w:val="00070246"/>
    <w:rsid w:val="00072538"/>
    <w:rsid w:val="00072642"/>
    <w:rsid w:val="00075360"/>
    <w:rsid w:val="00077A6F"/>
    <w:rsid w:val="00090E40"/>
    <w:rsid w:val="00093A76"/>
    <w:rsid w:val="00095B0F"/>
    <w:rsid w:val="00097D23"/>
    <w:rsid w:val="000A3DB7"/>
    <w:rsid w:val="000A3DE9"/>
    <w:rsid w:val="000B6627"/>
    <w:rsid w:val="000B7819"/>
    <w:rsid w:val="000C0B03"/>
    <w:rsid w:val="000C44BD"/>
    <w:rsid w:val="000C60CB"/>
    <w:rsid w:val="000D1B97"/>
    <w:rsid w:val="000D5BFD"/>
    <w:rsid w:val="000E3188"/>
    <w:rsid w:val="000E5147"/>
    <w:rsid w:val="000F0687"/>
    <w:rsid w:val="000F236D"/>
    <w:rsid w:val="000F7FEE"/>
    <w:rsid w:val="00100113"/>
    <w:rsid w:val="00100AAF"/>
    <w:rsid w:val="001015E9"/>
    <w:rsid w:val="0010588B"/>
    <w:rsid w:val="001066A3"/>
    <w:rsid w:val="00110DF2"/>
    <w:rsid w:val="00111A49"/>
    <w:rsid w:val="001151EB"/>
    <w:rsid w:val="001226A0"/>
    <w:rsid w:val="00125F61"/>
    <w:rsid w:val="0014397C"/>
    <w:rsid w:val="00151822"/>
    <w:rsid w:val="001536DD"/>
    <w:rsid w:val="0015408D"/>
    <w:rsid w:val="001555CF"/>
    <w:rsid w:val="001615B9"/>
    <w:rsid w:val="0017390D"/>
    <w:rsid w:val="00173A58"/>
    <w:rsid w:val="00173C07"/>
    <w:rsid w:val="0018003D"/>
    <w:rsid w:val="00183739"/>
    <w:rsid w:val="001A7278"/>
    <w:rsid w:val="001B3B07"/>
    <w:rsid w:val="001B7D83"/>
    <w:rsid w:val="001C45A5"/>
    <w:rsid w:val="001C5CC2"/>
    <w:rsid w:val="001D238A"/>
    <w:rsid w:val="001D57EA"/>
    <w:rsid w:val="001E2865"/>
    <w:rsid w:val="001E375F"/>
    <w:rsid w:val="001E425E"/>
    <w:rsid w:val="001F1469"/>
    <w:rsid w:val="001F280A"/>
    <w:rsid w:val="001F30EE"/>
    <w:rsid w:val="001F34A3"/>
    <w:rsid w:val="001F4542"/>
    <w:rsid w:val="001F4DF4"/>
    <w:rsid w:val="001F6749"/>
    <w:rsid w:val="00200819"/>
    <w:rsid w:val="00202867"/>
    <w:rsid w:val="002106DF"/>
    <w:rsid w:val="00211656"/>
    <w:rsid w:val="00223371"/>
    <w:rsid w:val="00231133"/>
    <w:rsid w:val="0023714A"/>
    <w:rsid w:val="00240C24"/>
    <w:rsid w:val="00241019"/>
    <w:rsid w:val="00242376"/>
    <w:rsid w:val="002669C9"/>
    <w:rsid w:val="00270DB4"/>
    <w:rsid w:val="00271B87"/>
    <w:rsid w:val="00277487"/>
    <w:rsid w:val="0028043F"/>
    <w:rsid w:val="00284AC3"/>
    <w:rsid w:val="002876A2"/>
    <w:rsid w:val="00292C1E"/>
    <w:rsid w:val="00294642"/>
    <w:rsid w:val="002A0BAF"/>
    <w:rsid w:val="002A4176"/>
    <w:rsid w:val="002B4163"/>
    <w:rsid w:val="002B45E8"/>
    <w:rsid w:val="002C18EB"/>
    <w:rsid w:val="002C2683"/>
    <w:rsid w:val="002C2C00"/>
    <w:rsid w:val="002C516A"/>
    <w:rsid w:val="002C6F7D"/>
    <w:rsid w:val="002D18CD"/>
    <w:rsid w:val="002D4343"/>
    <w:rsid w:val="002D510B"/>
    <w:rsid w:val="002D6169"/>
    <w:rsid w:val="002D70D9"/>
    <w:rsid w:val="002F2327"/>
    <w:rsid w:val="00301C3F"/>
    <w:rsid w:val="00306122"/>
    <w:rsid w:val="003071D1"/>
    <w:rsid w:val="00307EF5"/>
    <w:rsid w:val="00332598"/>
    <w:rsid w:val="00336DDA"/>
    <w:rsid w:val="00336F25"/>
    <w:rsid w:val="003632F3"/>
    <w:rsid w:val="00373F7E"/>
    <w:rsid w:val="00382BBB"/>
    <w:rsid w:val="0038347A"/>
    <w:rsid w:val="00385A93"/>
    <w:rsid w:val="00395809"/>
    <w:rsid w:val="003A06E3"/>
    <w:rsid w:val="003A40D0"/>
    <w:rsid w:val="003A7AA3"/>
    <w:rsid w:val="003B1BD0"/>
    <w:rsid w:val="003B33D1"/>
    <w:rsid w:val="003C15E2"/>
    <w:rsid w:val="003C1C05"/>
    <w:rsid w:val="003C5B15"/>
    <w:rsid w:val="003D08B1"/>
    <w:rsid w:val="003D3A3C"/>
    <w:rsid w:val="003E1C6E"/>
    <w:rsid w:val="003F068A"/>
    <w:rsid w:val="00400298"/>
    <w:rsid w:val="004124B5"/>
    <w:rsid w:val="00414A93"/>
    <w:rsid w:val="00416435"/>
    <w:rsid w:val="004307B2"/>
    <w:rsid w:val="0043476B"/>
    <w:rsid w:val="004407BB"/>
    <w:rsid w:val="0044447C"/>
    <w:rsid w:val="00460E88"/>
    <w:rsid w:val="00461E0B"/>
    <w:rsid w:val="00466E58"/>
    <w:rsid w:val="00470F80"/>
    <w:rsid w:val="00473064"/>
    <w:rsid w:val="00474412"/>
    <w:rsid w:val="00477FB2"/>
    <w:rsid w:val="00482CAB"/>
    <w:rsid w:val="004838E6"/>
    <w:rsid w:val="00486E4B"/>
    <w:rsid w:val="00493DD5"/>
    <w:rsid w:val="004A0D95"/>
    <w:rsid w:val="004A236A"/>
    <w:rsid w:val="004A43B8"/>
    <w:rsid w:val="004A5EF1"/>
    <w:rsid w:val="004D49E7"/>
    <w:rsid w:val="004D66BC"/>
    <w:rsid w:val="004E0388"/>
    <w:rsid w:val="004E054B"/>
    <w:rsid w:val="004E20DA"/>
    <w:rsid w:val="004E576A"/>
    <w:rsid w:val="004E65D7"/>
    <w:rsid w:val="004E6C8F"/>
    <w:rsid w:val="004F377E"/>
    <w:rsid w:val="004F386A"/>
    <w:rsid w:val="004F6F2B"/>
    <w:rsid w:val="004F782C"/>
    <w:rsid w:val="00502755"/>
    <w:rsid w:val="0050327C"/>
    <w:rsid w:val="005104CE"/>
    <w:rsid w:val="00520CBC"/>
    <w:rsid w:val="00527722"/>
    <w:rsid w:val="00530070"/>
    <w:rsid w:val="0053107F"/>
    <w:rsid w:val="005367A7"/>
    <w:rsid w:val="0054059C"/>
    <w:rsid w:val="00553660"/>
    <w:rsid w:val="00556D09"/>
    <w:rsid w:val="00557070"/>
    <w:rsid w:val="00562A18"/>
    <w:rsid w:val="00570FD7"/>
    <w:rsid w:val="0058086D"/>
    <w:rsid w:val="0059472E"/>
    <w:rsid w:val="0059589A"/>
    <w:rsid w:val="005A0362"/>
    <w:rsid w:val="005A7F13"/>
    <w:rsid w:val="005B563E"/>
    <w:rsid w:val="005C2B22"/>
    <w:rsid w:val="005C6D66"/>
    <w:rsid w:val="005D066C"/>
    <w:rsid w:val="005D09FE"/>
    <w:rsid w:val="005D24FC"/>
    <w:rsid w:val="005D5A09"/>
    <w:rsid w:val="005D6C41"/>
    <w:rsid w:val="005E02F3"/>
    <w:rsid w:val="005E7CF1"/>
    <w:rsid w:val="005F1E70"/>
    <w:rsid w:val="005F55ED"/>
    <w:rsid w:val="006010FE"/>
    <w:rsid w:val="00601569"/>
    <w:rsid w:val="00602FEC"/>
    <w:rsid w:val="00604BAE"/>
    <w:rsid w:val="00606C5D"/>
    <w:rsid w:val="0061612F"/>
    <w:rsid w:val="006214E4"/>
    <w:rsid w:val="00625A84"/>
    <w:rsid w:val="006418D4"/>
    <w:rsid w:val="00651112"/>
    <w:rsid w:val="0065242C"/>
    <w:rsid w:val="00653522"/>
    <w:rsid w:val="00655AE2"/>
    <w:rsid w:val="0066192B"/>
    <w:rsid w:val="00664915"/>
    <w:rsid w:val="0067462D"/>
    <w:rsid w:val="0067533F"/>
    <w:rsid w:val="00684E84"/>
    <w:rsid w:val="00691391"/>
    <w:rsid w:val="0069429D"/>
    <w:rsid w:val="006A02E4"/>
    <w:rsid w:val="006A3085"/>
    <w:rsid w:val="006A5A44"/>
    <w:rsid w:val="006B1379"/>
    <w:rsid w:val="006B5CB3"/>
    <w:rsid w:val="006B6DAE"/>
    <w:rsid w:val="006C44D3"/>
    <w:rsid w:val="006D2641"/>
    <w:rsid w:val="006E0E5C"/>
    <w:rsid w:val="006E3288"/>
    <w:rsid w:val="006E34E1"/>
    <w:rsid w:val="006F0432"/>
    <w:rsid w:val="006F3554"/>
    <w:rsid w:val="006F584E"/>
    <w:rsid w:val="007021B0"/>
    <w:rsid w:val="00705333"/>
    <w:rsid w:val="0071369E"/>
    <w:rsid w:val="0072612F"/>
    <w:rsid w:val="007277CF"/>
    <w:rsid w:val="00731CC7"/>
    <w:rsid w:val="00733382"/>
    <w:rsid w:val="007424E9"/>
    <w:rsid w:val="00746AFA"/>
    <w:rsid w:val="00750EBB"/>
    <w:rsid w:val="007664AD"/>
    <w:rsid w:val="00772F24"/>
    <w:rsid w:val="007741CA"/>
    <w:rsid w:val="00775035"/>
    <w:rsid w:val="007754CB"/>
    <w:rsid w:val="00785606"/>
    <w:rsid w:val="0079284B"/>
    <w:rsid w:val="0079323C"/>
    <w:rsid w:val="00796593"/>
    <w:rsid w:val="00796ECC"/>
    <w:rsid w:val="007A0CEC"/>
    <w:rsid w:val="007A16C4"/>
    <w:rsid w:val="007A5384"/>
    <w:rsid w:val="007A5C9C"/>
    <w:rsid w:val="007B1CAD"/>
    <w:rsid w:val="007B6918"/>
    <w:rsid w:val="007C16EE"/>
    <w:rsid w:val="007C5392"/>
    <w:rsid w:val="007C58F0"/>
    <w:rsid w:val="007D5967"/>
    <w:rsid w:val="007E11DE"/>
    <w:rsid w:val="007E49D1"/>
    <w:rsid w:val="007E7C89"/>
    <w:rsid w:val="007F1AE4"/>
    <w:rsid w:val="007F730D"/>
    <w:rsid w:val="0080099C"/>
    <w:rsid w:val="008014D5"/>
    <w:rsid w:val="008025F3"/>
    <w:rsid w:val="00810FA2"/>
    <w:rsid w:val="00811F42"/>
    <w:rsid w:val="00814B39"/>
    <w:rsid w:val="008222F9"/>
    <w:rsid w:val="00823F67"/>
    <w:rsid w:val="008275A2"/>
    <w:rsid w:val="00833ABE"/>
    <w:rsid w:val="00833F63"/>
    <w:rsid w:val="00835B21"/>
    <w:rsid w:val="00837092"/>
    <w:rsid w:val="008401CD"/>
    <w:rsid w:val="008420BE"/>
    <w:rsid w:val="00842303"/>
    <w:rsid w:val="00852003"/>
    <w:rsid w:val="00857ABE"/>
    <w:rsid w:val="00866943"/>
    <w:rsid w:val="0087583A"/>
    <w:rsid w:val="00884D51"/>
    <w:rsid w:val="008A1BF0"/>
    <w:rsid w:val="008B0FBB"/>
    <w:rsid w:val="008B2FAB"/>
    <w:rsid w:val="008B460E"/>
    <w:rsid w:val="008B7F4D"/>
    <w:rsid w:val="008C0495"/>
    <w:rsid w:val="008C086D"/>
    <w:rsid w:val="008D0E0D"/>
    <w:rsid w:val="008D3287"/>
    <w:rsid w:val="008D3C3E"/>
    <w:rsid w:val="008D4653"/>
    <w:rsid w:val="008E7044"/>
    <w:rsid w:val="008F003E"/>
    <w:rsid w:val="008F2263"/>
    <w:rsid w:val="008F5CB6"/>
    <w:rsid w:val="00904FDD"/>
    <w:rsid w:val="0090637A"/>
    <w:rsid w:val="00912B7A"/>
    <w:rsid w:val="00912CA1"/>
    <w:rsid w:val="00926CC8"/>
    <w:rsid w:val="00926F48"/>
    <w:rsid w:val="00946941"/>
    <w:rsid w:val="00947944"/>
    <w:rsid w:val="00957A7B"/>
    <w:rsid w:val="00971E2F"/>
    <w:rsid w:val="00981597"/>
    <w:rsid w:val="00985354"/>
    <w:rsid w:val="0098733A"/>
    <w:rsid w:val="00987672"/>
    <w:rsid w:val="00990005"/>
    <w:rsid w:val="009946F5"/>
    <w:rsid w:val="00995987"/>
    <w:rsid w:val="009A5FC1"/>
    <w:rsid w:val="009B3503"/>
    <w:rsid w:val="009B409F"/>
    <w:rsid w:val="009B72DD"/>
    <w:rsid w:val="009C05F4"/>
    <w:rsid w:val="009C0A18"/>
    <w:rsid w:val="009C362C"/>
    <w:rsid w:val="009C75C5"/>
    <w:rsid w:val="009D4A71"/>
    <w:rsid w:val="009D6613"/>
    <w:rsid w:val="009E019D"/>
    <w:rsid w:val="009E1633"/>
    <w:rsid w:val="009E632D"/>
    <w:rsid w:val="009F07DD"/>
    <w:rsid w:val="009F4D35"/>
    <w:rsid w:val="009F646F"/>
    <w:rsid w:val="00A13295"/>
    <w:rsid w:val="00A16AF2"/>
    <w:rsid w:val="00A16E44"/>
    <w:rsid w:val="00A253F8"/>
    <w:rsid w:val="00A3210D"/>
    <w:rsid w:val="00A3629B"/>
    <w:rsid w:val="00A53A35"/>
    <w:rsid w:val="00A55BD4"/>
    <w:rsid w:val="00A56648"/>
    <w:rsid w:val="00A63A29"/>
    <w:rsid w:val="00A6437D"/>
    <w:rsid w:val="00A66EA2"/>
    <w:rsid w:val="00A67060"/>
    <w:rsid w:val="00A67BBE"/>
    <w:rsid w:val="00A8162D"/>
    <w:rsid w:val="00A910D6"/>
    <w:rsid w:val="00A92EBE"/>
    <w:rsid w:val="00AA1EC8"/>
    <w:rsid w:val="00AA281E"/>
    <w:rsid w:val="00AB2835"/>
    <w:rsid w:val="00AB3EB9"/>
    <w:rsid w:val="00AB7507"/>
    <w:rsid w:val="00AC41A9"/>
    <w:rsid w:val="00AC56B6"/>
    <w:rsid w:val="00AC5A8A"/>
    <w:rsid w:val="00AC6530"/>
    <w:rsid w:val="00AC6C47"/>
    <w:rsid w:val="00AC72BB"/>
    <w:rsid w:val="00AC7C3B"/>
    <w:rsid w:val="00AC7DE0"/>
    <w:rsid w:val="00AD5E0A"/>
    <w:rsid w:val="00AF7279"/>
    <w:rsid w:val="00B10CF4"/>
    <w:rsid w:val="00B1242C"/>
    <w:rsid w:val="00B14C68"/>
    <w:rsid w:val="00B205ED"/>
    <w:rsid w:val="00B502AA"/>
    <w:rsid w:val="00B50534"/>
    <w:rsid w:val="00B5364F"/>
    <w:rsid w:val="00B57D17"/>
    <w:rsid w:val="00B662F1"/>
    <w:rsid w:val="00B6738C"/>
    <w:rsid w:val="00B714F0"/>
    <w:rsid w:val="00B76187"/>
    <w:rsid w:val="00B82DE4"/>
    <w:rsid w:val="00B863C6"/>
    <w:rsid w:val="00B87A8C"/>
    <w:rsid w:val="00B935D8"/>
    <w:rsid w:val="00BA011A"/>
    <w:rsid w:val="00BA05D1"/>
    <w:rsid w:val="00BA073E"/>
    <w:rsid w:val="00BA6900"/>
    <w:rsid w:val="00BA7CB0"/>
    <w:rsid w:val="00BB0469"/>
    <w:rsid w:val="00BB4DAF"/>
    <w:rsid w:val="00BC3570"/>
    <w:rsid w:val="00BC484D"/>
    <w:rsid w:val="00BC6C49"/>
    <w:rsid w:val="00BD06CF"/>
    <w:rsid w:val="00BD1726"/>
    <w:rsid w:val="00BD22EB"/>
    <w:rsid w:val="00BD3F42"/>
    <w:rsid w:val="00BD59EB"/>
    <w:rsid w:val="00BE0952"/>
    <w:rsid w:val="00BE151B"/>
    <w:rsid w:val="00BE1523"/>
    <w:rsid w:val="00BE4980"/>
    <w:rsid w:val="00BF4D78"/>
    <w:rsid w:val="00BF57BD"/>
    <w:rsid w:val="00BF631C"/>
    <w:rsid w:val="00C063D1"/>
    <w:rsid w:val="00C107A9"/>
    <w:rsid w:val="00C16F97"/>
    <w:rsid w:val="00C27857"/>
    <w:rsid w:val="00C27C77"/>
    <w:rsid w:val="00C309BD"/>
    <w:rsid w:val="00C3251C"/>
    <w:rsid w:val="00C41775"/>
    <w:rsid w:val="00C511B8"/>
    <w:rsid w:val="00C644B7"/>
    <w:rsid w:val="00C72CE2"/>
    <w:rsid w:val="00C73D7A"/>
    <w:rsid w:val="00C74419"/>
    <w:rsid w:val="00C75FD9"/>
    <w:rsid w:val="00C76074"/>
    <w:rsid w:val="00C80DA1"/>
    <w:rsid w:val="00C81D63"/>
    <w:rsid w:val="00C92F34"/>
    <w:rsid w:val="00C9435D"/>
    <w:rsid w:val="00CA1EBC"/>
    <w:rsid w:val="00CA2D73"/>
    <w:rsid w:val="00CB28BA"/>
    <w:rsid w:val="00CB43F8"/>
    <w:rsid w:val="00CB7CFA"/>
    <w:rsid w:val="00CC2CCE"/>
    <w:rsid w:val="00CD1760"/>
    <w:rsid w:val="00CE1438"/>
    <w:rsid w:val="00CE22AF"/>
    <w:rsid w:val="00CE5BF8"/>
    <w:rsid w:val="00CF1AE2"/>
    <w:rsid w:val="00CF56CC"/>
    <w:rsid w:val="00D02E34"/>
    <w:rsid w:val="00D03E71"/>
    <w:rsid w:val="00D05069"/>
    <w:rsid w:val="00D069F5"/>
    <w:rsid w:val="00D111A6"/>
    <w:rsid w:val="00D14C71"/>
    <w:rsid w:val="00D21B21"/>
    <w:rsid w:val="00D23D2D"/>
    <w:rsid w:val="00D32ED7"/>
    <w:rsid w:val="00D361D8"/>
    <w:rsid w:val="00D41B9A"/>
    <w:rsid w:val="00D41E19"/>
    <w:rsid w:val="00D427FC"/>
    <w:rsid w:val="00D50884"/>
    <w:rsid w:val="00D51CF3"/>
    <w:rsid w:val="00D523FC"/>
    <w:rsid w:val="00D53249"/>
    <w:rsid w:val="00D54518"/>
    <w:rsid w:val="00D5763D"/>
    <w:rsid w:val="00D619CC"/>
    <w:rsid w:val="00D63E49"/>
    <w:rsid w:val="00D646FD"/>
    <w:rsid w:val="00D64CDB"/>
    <w:rsid w:val="00D66299"/>
    <w:rsid w:val="00D675E2"/>
    <w:rsid w:val="00D7611D"/>
    <w:rsid w:val="00D8030E"/>
    <w:rsid w:val="00D82C17"/>
    <w:rsid w:val="00D830D5"/>
    <w:rsid w:val="00D8408A"/>
    <w:rsid w:val="00D9798D"/>
    <w:rsid w:val="00DA6685"/>
    <w:rsid w:val="00DB61EC"/>
    <w:rsid w:val="00DC79ED"/>
    <w:rsid w:val="00DD7902"/>
    <w:rsid w:val="00DF0D75"/>
    <w:rsid w:val="00DF263B"/>
    <w:rsid w:val="00DF5A93"/>
    <w:rsid w:val="00DF7EA3"/>
    <w:rsid w:val="00E05C91"/>
    <w:rsid w:val="00E07DC6"/>
    <w:rsid w:val="00E10059"/>
    <w:rsid w:val="00E10333"/>
    <w:rsid w:val="00E150DC"/>
    <w:rsid w:val="00E22344"/>
    <w:rsid w:val="00E2412F"/>
    <w:rsid w:val="00E256BA"/>
    <w:rsid w:val="00E30197"/>
    <w:rsid w:val="00E3184A"/>
    <w:rsid w:val="00E4138F"/>
    <w:rsid w:val="00E51FB0"/>
    <w:rsid w:val="00E574A8"/>
    <w:rsid w:val="00E576F9"/>
    <w:rsid w:val="00E603D2"/>
    <w:rsid w:val="00E621D1"/>
    <w:rsid w:val="00E709C6"/>
    <w:rsid w:val="00E744AC"/>
    <w:rsid w:val="00E7597A"/>
    <w:rsid w:val="00E765F8"/>
    <w:rsid w:val="00E8661C"/>
    <w:rsid w:val="00E90CF6"/>
    <w:rsid w:val="00E938FB"/>
    <w:rsid w:val="00EA2921"/>
    <w:rsid w:val="00EA36E9"/>
    <w:rsid w:val="00EA4F6A"/>
    <w:rsid w:val="00EA68BA"/>
    <w:rsid w:val="00EA6D4A"/>
    <w:rsid w:val="00EB44EB"/>
    <w:rsid w:val="00EB7921"/>
    <w:rsid w:val="00EC0BBE"/>
    <w:rsid w:val="00EC0E09"/>
    <w:rsid w:val="00EC3AC3"/>
    <w:rsid w:val="00EC5A9E"/>
    <w:rsid w:val="00ED3380"/>
    <w:rsid w:val="00ED4914"/>
    <w:rsid w:val="00EE22F2"/>
    <w:rsid w:val="00EE2EFF"/>
    <w:rsid w:val="00EE3FFC"/>
    <w:rsid w:val="00EF61B3"/>
    <w:rsid w:val="00F02F73"/>
    <w:rsid w:val="00F11965"/>
    <w:rsid w:val="00F2124D"/>
    <w:rsid w:val="00F22F7B"/>
    <w:rsid w:val="00F272C3"/>
    <w:rsid w:val="00F30AE5"/>
    <w:rsid w:val="00F329F1"/>
    <w:rsid w:val="00F43271"/>
    <w:rsid w:val="00F500BC"/>
    <w:rsid w:val="00F50E2B"/>
    <w:rsid w:val="00F526EA"/>
    <w:rsid w:val="00F550E3"/>
    <w:rsid w:val="00F65465"/>
    <w:rsid w:val="00F65963"/>
    <w:rsid w:val="00F665CF"/>
    <w:rsid w:val="00F75293"/>
    <w:rsid w:val="00F81737"/>
    <w:rsid w:val="00F86153"/>
    <w:rsid w:val="00F94372"/>
    <w:rsid w:val="00FA20F1"/>
    <w:rsid w:val="00FA4253"/>
    <w:rsid w:val="00FB6740"/>
    <w:rsid w:val="00FB6A53"/>
    <w:rsid w:val="00FC301A"/>
    <w:rsid w:val="00FC3E65"/>
    <w:rsid w:val="00FC4B10"/>
    <w:rsid w:val="00FD18A0"/>
    <w:rsid w:val="00FD26EA"/>
    <w:rsid w:val="00FD29DD"/>
    <w:rsid w:val="00FD5627"/>
    <w:rsid w:val="00FD57EA"/>
    <w:rsid w:val="00FD5AEC"/>
    <w:rsid w:val="00FE170E"/>
    <w:rsid w:val="00FE2906"/>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ADEF,Betulia Título 1,Bolita,Colorful List Accent 1,HOJA,LISTA,List Paragraph1,List Paragraph_0,Nivel 1 OS,Párrafo de lista21,Párrafo de lista3,Párrafo de lista4,Segundo nivel de viñetas,parrafo,titulo 5"/>
    <w:basedOn w:val="Normal"/>
    <w:link w:val="PrrafodelistaCar"/>
    <w:uiPriority w:val="34"/>
    <w:qFormat/>
    <w:rsid w:val="00F22A54"/>
    <w:pPr>
      <w:ind w:left="708"/>
    </w:pPr>
  </w:style>
  <w:style w:type="paragraph" w:styleId="Textonotapie">
    <w:name w:val="footnote text"/>
    <w:aliases w:val="ft,Texto nota pie_mujer"/>
    <w:basedOn w:val="Normal"/>
    <w:link w:val="TextonotapieCar"/>
    <w:uiPriority w:val="99"/>
    <w:semiHidden/>
    <w:rsid w:val="00E970D4"/>
    <w:rPr>
      <w:sz w:val="20"/>
    </w:rPr>
  </w:style>
  <w:style w:type="character" w:customStyle="1" w:styleId="TextonotapieCar">
    <w:name w:val="Texto nota pie Car"/>
    <w:aliases w:val="ft Car,Texto nota pie_mujer Car"/>
    <w:basedOn w:val="Fuentedeprrafopredeter"/>
    <w:link w:val="Textonotapie"/>
    <w:uiPriority w:val="99"/>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link w:val="SubttuloCar"/>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ADEF Car,Betulia Título 1 Car,Bolita Car,Colorful List Accent 1 Car,HOJA Car,LISTA Car,List Paragraph1 Car,List Paragraph_0 Car,Nivel 1 OS Car,Párrafo de lista21 Car,Párrafo de lista3 Car,Párrafo de lista4 Car"/>
    <w:basedOn w:val="Fuentedeprrafopredeter"/>
    <w:link w:val="Prrafodelista"/>
    <w:uiPriority w:val="34"/>
    <w:locked/>
    <w:rsid w:val="009E632D"/>
    <w:rPr>
      <w:rFonts w:eastAsia="Times New Roman" w:cs="Times New Roman"/>
      <w:szCs w:val="20"/>
      <w:lang w:eastAsia="es-ES"/>
    </w:rPr>
  </w:style>
  <w:style w:type="character" w:customStyle="1" w:styleId="SubttuloCar">
    <w:name w:val="Subtítulo Car"/>
    <w:basedOn w:val="Fuentedeprrafopredeter"/>
    <w:link w:val="Subttulo"/>
    <w:uiPriority w:val="11"/>
    <w:rsid w:val="009E632D"/>
    <w:rPr>
      <w:rFonts w:ascii="Georgia" w:eastAsia="Georgia" w:hAnsi="Georgia" w:cs="Georgia"/>
      <w:i/>
      <w:color w:val="666666"/>
      <w:sz w:val="48"/>
      <w:szCs w:val="48"/>
      <w:lang w:eastAsia="es-ES"/>
    </w:rPr>
  </w:style>
  <w:style w:type="character" w:styleId="Hipervnculo">
    <w:name w:val="Hyperlink"/>
    <w:basedOn w:val="Fuentedeprrafopredeter"/>
    <w:uiPriority w:val="99"/>
    <w:semiHidden/>
    <w:unhideWhenUsed/>
    <w:rsid w:val="00284AC3"/>
    <w:rPr>
      <w:color w:val="0563C1" w:themeColor="hyperlink"/>
      <w:u w:val="single"/>
    </w:rPr>
  </w:style>
  <w:style w:type="paragraph" w:styleId="Revisin">
    <w:name w:val="Revision"/>
    <w:hidden/>
    <w:uiPriority w:val="99"/>
    <w:semiHidden/>
    <w:rsid w:val="00E709C6"/>
    <w:pPr>
      <w:jc w:val="left"/>
    </w:pPr>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378">
      <w:bodyDiv w:val="1"/>
      <w:marLeft w:val="0"/>
      <w:marRight w:val="0"/>
      <w:marTop w:val="0"/>
      <w:marBottom w:val="0"/>
      <w:divBdr>
        <w:top w:val="none" w:sz="0" w:space="0" w:color="auto"/>
        <w:left w:val="none" w:sz="0" w:space="0" w:color="auto"/>
        <w:bottom w:val="none" w:sz="0" w:space="0" w:color="auto"/>
        <w:right w:val="none" w:sz="0" w:space="0" w:color="auto"/>
      </w:divBdr>
    </w:div>
    <w:div w:id="28185024">
      <w:bodyDiv w:val="1"/>
      <w:marLeft w:val="0"/>
      <w:marRight w:val="0"/>
      <w:marTop w:val="0"/>
      <w:marBottom w:val="0"/>
      <w:divBdr>
        <w:top w:val="none" w:sz="0" w:space="0" w:color="auto"/>
        <w:left w:val="none" w:sz="0" w:space="0" w:color="auto"/>
        <w:bottom w:val="none" w:sz="0" w:space="0" w:color="auto"/>
        <w:right w:val="none" w:sz="0" w:space="0" w:color="auto"/>
      </w:divBdr>
    </w:div>
    <w:div w:id="30420975">
      <w:bodyDiv w:val="1"/>
      <w:marLeft w:val="0"/>
      <w:marRight w:val="0"/>
      <w:marTop w:val="0"/>
      <w:marBottom w:val="0"/>
      <w:divBdr>
        <w:top w:val="none" w:sz="0" w:space="0" w:color="auto"/>
        <w:left w:val="none" w:sz="0" w:space="0" w:color="auto"/>
        <w:bottom w:val="none" w:sz="0" w:space="0" w:color="auto"/>
        <w:right w:val="none" w:sz="0" w:space="0" w:color="auto"/>
      </w:divBdr>
    </w:div>
    <w:div w:id="47192319">
      <w:bodyDiv w:val="1"/>
      <w:marLeft w:val="0"/>
      <w:marRight w:val="0"/>
      <w:marTop w:val="0"/>
      <w:marBottom w:val="0"/>
      <w:divBdr>
        <w:top w:val="none" w:sz="0" w:space="0" w:color="auto"/>
        <w:left w:val="none" w:sz="0" w:space="0" w:color="auto"/>
        <w:bottom w:val="none" w:sz="0" w:space="0" w:color="auto"/>
        <w:right w:val="none" w:sz="0" w:space="0" w:color="auto"/>
      </w:divBdr>
    </w:div>
    <w:div w:id="54859615">
      <w:bodyDiv w:val="1"/>
      <w:marLeft w:val="0"/>
      <w:marRight w:val="0"/>
      <w:marTop w:val="0"/>
      <w:marBottom w:val="0"/>
      <w:divBdr>
        <w:top w:val="none" w:sz="0" w:space="0" w:color="auto"/>
        <w:left w:val="none" w:sz="0" w:space="0" w:color="auto"/>
        <w:bottom w:val="none" w:sz="0" w:space="0" w:color="auto"/>
        <w:right w:val="none" w:sz="0" w:space="0" w:color="auto"/>
      </w:divBdr>
    </w:div>
    <w:div w:id="12963645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6819951">
      <w:bodyDiv w:val="1"/>
      <w:marLeft w:val="0"/>
      <w:marRight w:val="0"/>
      <w:marTop w:val="0"/>
      <w:marBottom w:val="0"/>
      <w:divBdr>
        <w:top w:val="none" w:sz="0" w:space="0" w:color="auto"/>
        <w:left w:val="none" w:sz="0" w:space="0" w:color="auto"/>
        <w:bottom w:val="none" w:sz="0" w:space="0" w:color="auto"/>
        <w:right w:val="none" w:sz="0" w:space="0" w:color="auto"/>
      </w:divBdr>
    </w:div>
    <w:div w:id="237595732">
      <w:bodyDiv w:val="1"/>
      <w:marLeft w:val="0"/>
      <w:marRight w:val="0"/>
      <w:marTop w:val="0"/>
      <w:marBottom w:val="0"/>
      <w:divBdr>
        <w:top w:val="none" w:sz="0" w:space="0" w:color="auto"/>
        <w:left w:val="none" w:sz="0" w:space="0" w:color="auto"/>
        <w:bottom w:val="none" w:sz="0" w:space="0" w:color="auto"/>
        <w:right w:val="none" w:sz="0" w:space="0" w:color="auto"/>
      </w:divBdr>
    </w:div>
    <w:div w:id="238758745">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885704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6293340">
      <w:bodyDiv w:val="1"/>
      <w:marLeft w:val="0"/>
      <w:marRight w:val="0"/>
      <w:marTop w:val="0"/>
      <w:marBottom w:val="0"/>
      <w:divBdr>
        <w:top w:val="none" w:sz="0" w:space="0" w:color="auto"/>
        <w:left w:val="none" w:sz="0" w:space="0" w:color="auto"/>
        <w:bottom w:val="none" w:sz="0" w:space="0" w:color="auto"/>
        <w:right w:val="none" w:sz="0" w:space="0" w:color="auto"/>
      </w:divBdr>
    </w:div>
    <w:div w:id="354891811">
      <w:bodyDiv w:val="1"/>
      <w:marLeft w:val="0"/>
      <w:marRight w:val="0"/>
      <w:marTop w:val="0"/>
      <w:marBottom w:val="0"/>
      <w:divBdr>
        <w:top w:val="none" w:sz="0" w:space="0" w:color="auto"/>
        <w:left w:val="none" w:sz="0" w:space="0" w:color="auto"/>
        <w:bottom w:val="none" w:sz="0" w:space="0" w:color="auto"/>
        <w:right w:val="none" w:sz="0" w:space="0" w:color="auto"/>
      </w:divBdr>
    </w:div>
    <w:div w:id="361635920">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193544">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7219558">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1506918">
      <w:bodyDiv w:val="1"/>
      <w:marLeft w:val="0"/>
      <w:marRight w:val="0"/>
      <w:marTop w:val="0"/>
      <w:marBottom w:val="0"/>
      <w:divBdr>
        <w:top w:val="none" w:sz="0" w:space="0" w:color="auto"/>
        <w:left w:val="none" w:sz="0" w:space="0" w:color="auto"/>
        <w:bottom w:val="none" w:sz="0" w:space="0" w:color="auto"/>
        <w:right w:val="none" w:sz="0" w:space="0" w:color="auto"/>
      </w:divBdr>
    </w:div>
    <w:div w:id="497497689">
      <w:bodyDiv w:val="1"/>
      <w:marLeft w:val="0"/>
      <w:marRight w:val="0"/>
      <w:marTop w:val="0"/>
      <w:marBottom w:val="0"/>
      <w:divBdr>
        <w:top w:val="none" w:sz="0" w:space="0" w:color="auto"/>
        <w:left w:val="none" w:sz="0" w:space="0" w:color="auto"/>
        <w:bottom w:val="none" w:sz="0" w:space="0" w:color="auto"/>
        <w:right w:val="none" w:sz="0" w:space="0" w:color="auto"/>
      </w:divBdr>
    </w:div>
    <w:div w:id="546599721">
      <w:bodyDiv w:val="1"/>
      <w:marLeft w:val="0"/>
      <w:marRight w:val="0"/>
      <w:marTop w:val="0"/>
      <w:marBottom w:val="0"/>
      <w:divBdr>
        <w:top w:val="none" w:sz="0" w:space="0" w:color="auto"/>
        <w:left w:val="none" w:sz="0" w:space="0" w:color="auto"/>
        <w:bottom w:val="none" w:sz="0" w:space="0" w:color="auto"/>
        <w:right w:val="none" w:sz="0" w:space="0" w:color="auto"/>
      </w:divBdr>
    </w:div>
    <w:div w:id="548762470">
      <w:bodyDiv w:val="1"/>
      <w:marLeft w:val="0"/>
      <w:marRight w:val="0"/>
      <w:marTop w:val="0"/>
      <w:marBottom w:val="0"/>
      <w:divBdr>
        <w:top w:val="none" w:sz="0" w:space="0" w:color="auto"/>
        <w:left w:val="none" w:sz="0" w:space="0" w:color="auto"/>
        <w:bottom w:val="none" w:sz="0" w:space="0" w:color="auto"/>
        <w:right w:val="none" w:sz="0" w:space="0" w:color="auto"/>
      </w:divBdr>
    </w:div>
    <w:div w:id="596904741">
      <w:bodyDiv w:val="1"/>
      <w:marLeft w:val="0"/>
      <w:marRight w:val="0"/>
      <w:marTop w:val="0"/>
      <w:marBottom w:val="0"/>
      <w:divBdr>
        <w:top w:val="none" w:sz="0" w:space="0" w:color="auto"/>
        <w:left w:val="none" w:sz="0" w:space="0" w:color="auto"/>
        <w:bottom w:val="none" w:sz="0" w:space="0" w:color="auto"/>
        <w:right w:val="none" w:sz="0" w:space="0" w:color="auto"/>
      </w:divBdr>
    </w:div>
    <w:div w:id="612979564">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7272069">
      <w:bodyDiv w:val="1"/>
      <w:marLeft w:val="0"/>
      <w:marRight w:val="0"/>
      <w:marTop w:val="0"/>
      <w:marBottom w:val="0"/>
      <w:divBdr>
        <w:top w:val="none" w:sz="0" w:space="0" w:color="auto"/>
        <w:left w:val="none" w:sz="0" w:space="0" w:color="auto"/>
        <w:bottom w:val="none" w:sz="0" w:space="0" w:color="auto"/>
        <w:right w:val="none" w:sz="0" w:space="0" w:color="auto"/>
      </w:divBdr>
    </w:div>
    <w:div w:id="69994143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283131">
      <w:bodyDiv w:val="1"/>
      <w:marLeft w:val="0"/>
      <w:marRight w:val="0"/>
      <w:marTop w:val="0"/>
      <w:marBottom w:val="0"/>
      <w:divBdr>
        <w:top w:val="none" w:sz="0" w:space="0" w:color="auto"/>
        <w:left w:val="none" w:sz="0" w:space="0" w:color="auto"/>
        <w:bottom w:val="none" w:sz="0" w:space="0" w:color="auto"/>
        <w:right w:val="none" w:sz="0" w:space="0" w:color="auto"/>
      </w:divBdr>
    </w:div>
    <w:div w:id="728116909">
      <w:bodyDiv w:val="1"/>
      <w:marLeft w:val="0"/>
      <w:marRight w:val="0"/>
      <w:marTop w:val="0"/>
      <w:marBottom w:val="0"/>
      <w:divBdr>
        <w:top w:val="none" w:sz="0" w:space="0" w:color="auto"/>
        <w:left w:val="none" w:sz="0" w:space="0" w:color="auto"/>
        <w:bottom w:val="none" w:sz="0" w:space="0" w:color="auto"/>
        <w:right w:val="none" w:sz="0" w:space="0" w:color="auto"/>
      </w:divBdr>
    </w:div>
    <w:div w:id="749235959">
      <w:bodyDiv w:val="1"/>
      <w:marLeft w:val="0"/>
      <w:marRight w:val="0"/>
      <w:marTop w:val="0"/>
      <w:marBottom w:val="0"/>
      <w:divBdr>
        <w:top w:val="none" w:sz="0" w:space="0" w:color="auto"/>
        <w:left w:val="none" w:sz="0" w:space="0" w:color="auto"/>
        <w:bottom w:val="none" w:sz="0" w:space="0" w:color="auto"/>
        <w:right w:val="none" w:sz="0" w:space="0" w:color="auto"/>
      </w:divBdr>
    </w:div>
    <w:div w:id="786780311">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79904943">
      <w:bodyDiv w:val="1"/>
      <w:marLeft w:val="0"/>
      <w:marRight w:val="0"/>
      <w:marTop w:val="0"/>
      <w:marBottom w:val="0"/>
      <w:divBdr>
        <w:top w:val="none" w:sz="0" w:space="0" w:color="auto"/>
        <w:left w:val="none" w:sz="0" w:space="0" w:color="auto"/>
        <w:bottom w:val="none" w:sz="0" w:space="0" w:color="auto"/>
        <w:right w:val="none" w:sz="0" w:space="0" w:color="auto"/>
      </w:divBdr>
    </w:div>
    <w:div w:id="91647317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19818433">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9892041">
      <w:bodyDiv w:val="1"/>
      <w:marLeft w:val="0"/>
      <w:marRight w:val="0"/>
      <w:marTop w:val="0"/>
      <w:marBottom w:val="0"/>
      <w:divBdr>
        <w:top w:val="none" w:sz="0" w:space="0" w:color="auto"/>
        <w:left w:val="none" w:sz="0" w:space="0" w:color="auto"/>
        <w:bottom w:val="none" w:sz="0" w:space="0" w:color="auto"/>
        <w:right w:val="none" w:sz="0" w:space="0" w:color="auto"/>
      </w:divBdr>
    </w:div>
    <w:div w:id="1044788206">
      <w:bodyDiv w:val="1"/>
      <w:marLeft w:val="0"/>
      <w:marRight w:val="0"/>
      <w:marTop w:val="0"/>
      <w:marBottom w:val="0"/>
      <w:divBdr>
        <w:top w:val="none" w:sz="0" w:space="0" w:color="auto"/>
        <w:left w:val="none" w:sz="0" w:space="0" w:color="auto"/>
        <w:bottom w:val="none" w:sz="0" w:space="0" w:color="auto"/>
        <w:right w:val="none" w:sz="0" w:space="0" w:color="auto"/>
      </w:divBdr>
    </w:div>
    <w:div w:id="1053768425">
      <w:bodyDiv w:val="1"/>
      <w:marLeft w:val="0"/>
      <w:marRight w:val="0"/>
      <w:marTop w:val="0"/>
      <w:marBottom w:val="0"/>
      <w:divBdr>
        <w:top w:val="none" w:sz="0" w:space="0" w:color="auto"/>
        <w:left w:val="none" w:sz="0" w:space="0" w:color="auto"/>
        <w:bottom w:val="none" w:sz="0" w:space="0" w:color="auto"/>
        <w:right w:val="none" w:sz="0" w:space="0" w:color="auto"/>
      </w:divBdr>
    </w:div>
    <w:div w:id="1135412934">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09607927">
      <w:bodyDiv w:val="1"/>
      <w:marLeft w:val="0"/>
      <w:marRight w:val="0"/>
      <w:marTop w:val="0"/>
      <w:marBottom w:val="0"/>
      <w:divBdr>
        <w:top w:val="none" w:sz="0" w:space="0" w:color="auto"/>
        <w:left w:val="none" w:sz="0" w:space="0" w:color="auto"/>
        <w:bottom w:val="none" w:sz="0" w:space="0" w:color="auto"/>
        <w:right w:val="none" w:sz="0" w:space="0" w:color="auto"/>
      </w:divBdr>
    </w:div>
    <w:div w:id="121916780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06426840">
      <w:bodyDiv w:val="1"/>
      <w:marLeft w:val="0"/>
      <w:marRight w:val="0"/>
      <w:marTop w:val="0"/>
      <w:marBottom w:val="0"/>
      <w:divBdr>
        <w:top w:val="none" w:sz="0" w:space="0" w:color="auto"/>
        <w:left w:val="none" w:sz="0" w:space="0" w:color="auto"/>
        <w:bottom w:val="none" w:sz="0" w:space="0" w:color="auto"/>
        <w:right w:val="none" w:sz="0" w:space="0" w:color="auto"/>
      </w:divBdr>
    </w:div>
    <w:div w:id="1402872330">
      <w:bodyDiv w:val="1"/>
      <w:marLeft w:val="0"/>
      <w:marRight w:val="0"/>
      <w:marTop w:val="0"/>
      <w:marBottom w:val="0"/>
      <w:divBdr>
        <w:top w:val="none" w:sz="0" w:space="0" w:color="auto"/>
        <w:left w:val="none" w:sz="0" w:space="0" w:color="auto"/>
        <w:bottom w:val="none" w:sz="0" w:space="0" w:color="auto"/>
        <w:right w:val="none" w:sz="0" w:space="0" w:color="auto"/>
      </w:divBdr>
    </w:div>
    <w:div w:id="1428961537">
      <w:bodyDiv w:val="1"/>
      <w:marLeft w:val="0"/>
      <w:marRight w:val="0"/>
      <w:marTop w:val="0"/>
      <w:marBottom w:val="0"/>
      <w:divBdr>
        <w:top w:val="none" w:sz="0" w:space="0" w:color="auto"/>
        <w:left w:val="none" w:sz="0" w:space="0" w:color="auto"/>
        <w:bottom w:val="none" w:sz="0" w:space="0" w:color="auto"/>
        <w:right w:val="none" w:sz="0" w:space="0" w:color="auto"/>
      </w:divBdr>
    </w:div>
    <w:div w:id="1465076674">
      <w:bodyDiv w:val="1"/>
      <w:marLeft w:val="0"/>
      <w:marRight w:val="0"/>
      <w:marTop w:val="0"/>
      <w:marBottom w:val="0"/>
      <w:divBdr>
        <w:top w:val="none" w:sz="0" w:space="0" w:color="auto"/>
        <w:left w:val="none" w:sz="0" w:space="0" w:color="auto"/>
        <w:bottom w:val="none" w:sz="0" w:space="0" w:color="auto"/>
        <w:right w:val="none" w:sz="0" w:space="0" w:color="auto"/>
      </w:divBdr>
    </w:div>
    <w:div w:id="1465731981">
      <w:bodyDiv w:val="1"/>
      <w:marLeft w:val="0"/>
      <w:marRight w:val="0"/>
      <w:marTop w:val="0"/>
      <w:marBottom w:val="0"/>
      <w:divBdr>
        <w:top w:val="none" w:sz="0" w:space="0" w:color="auto"/>
        <w:left w:val="none" w:sz="0" w:space="0" w:color="auto"/>
        <w:bottom w:val="none" w:sz="0" w:space="0" w:color="auto"/>
        <w:right w:val="none" w:sz="0" w:space="0" w:color="auto"/>
      </w:divBdr>
    </w:div>
    <w:div w:id="152378323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12084563">
      <w:bodyDiv w:val="1"/>
      <w:marLeft w:val="0"/>
      <w:marRight w:val="0"/>
      <w:marTop w:val="0"/>
      <w:marBottom w:val="0"/>
      <w:divBdr>
        <w:top w:val="none" w:sz="0" w:space="0" w:color="auto"/>
        <w:left w:val="none" w:sz="0" w:space="0" w:color="auto"/>
        <w:bottom w:val="none" w:sz="0" w:space="0" w:color="auto"/>
        <w:right w:val="none" w:sz="0" w:space="0" w:color="auto"/>
      </w:divBdr>
    </w:div>
    <w:div w:id="1668172495">
      <w:bodyDiv w:val="1"/>
      <w:marLeft w:val="0"/>
      <w:marRight w:val="0"/>
      <w:marTop w:val="0"/>
      <w:marBottom w:val="0"/>
      <w:divBdr>
        <w:top w:val="none" w:sz="0" w:space="0" w:color="auto"/>
        <w:left w:val="none" w:sz="0" w:space="0" w:color="auto"/>
        <w:bottom w:val="none" w:sz="0" w:space="0" w:color="auto"/>
        <w:right w:val="none" w:sz="0" w:space="0" w:color="auto"/>
      </w:divBdr>
    </w:div>
    <w:div w:id="1733652645">
      <w:bodyDiv w:val="1"/>
      <w:marLeft w:val="0"/>
      <w:marRight w:val="0"/>
      <w:marTop w:val="0"/>
      <w:marBottom w:val="0"/>
      <w:divBdr>
        <w:top w:val="none" w:sz="0" w:space="0" w:color="auto"/>
        <w:left w:val="none" w:sz="0" w:space="0" w:color="auto"/>
        <w:bottom w:val="none" w:sz="0" w:space="0" w:color="auto"/>
        <w:right w:val="none" w:sz="0" w:space="0" w:color="auto"/>
      </w:divBdr>
    </w:div>
    <w:div w:id="1741517773">
      <w:bodyDiv w:val="1"/>
      <w:marLeft w:val="0"/>
      <w:marRight w:val="0"/>
      <w:marTop w:val="0"/>
      <w:marBottom w:val="0"/>
      <w:divBdr>
        <w:top w:val="none" w:sz="0" w:space="0" w:color="auto"/>
        <w:left w:val="none" w:sz="0" w:space="0" w:color="auto"/>
        <w:bottom w:val="none" w:sz="0" w:space="0" w:color="auto"/>
        <w:right w:val="none" w:sz="0" w:space="0" w:color="auto"/>
      </w:divBdr>
    </w:div>
    <w:div w:id="1813911994">
      <w:bodyDiv w:val="1"/>
      <w:marLeft w:val="0"/>
      <w:marRight w:val="0"/>
      <w:marTop w:val="0"/>
      <w:marBottom w:val="0"/>
      <w:divBdr>
        <w:top w:val="none" w:sz="0" w:space="0" w:color="auto"/>
        <w:left w:val="none" w:sz="0" w:space="0" w:color="auto"/>
        <w:bottom w:val="none" w:sz="0" w:space="0" w:color="auto"/>
        <w:right w:val="none" w:sz="0" w:space="0" w:color="auto"/>
      </w:divBdr>
    </w:div>
    <w:div w:id="1815291934">
      <w:bodyDiv w:val="1"/>
      <w:marLeft w:val="0"/>
      <w:marRight w:val="0"/>
      <w:marTop w:val="0"/>
      <w:marBottom w:val="0"/>
      <w:divBdr>
        <w:top w:val="none" w:sz="0" w:space="0" w:color="auto"/>
        <w:left w:val="none" w:sz="0" w:space="0" w:color="auto"/>
        <w:bottom w:val="none" w:sz="0" w:space="0" w:color="auto"/>
        <w:right w:val="none" w:sz="0" w:space="0" w:color="auto"/>
      </w:divBdr>
    </w:div>
    <w:div w:id="184073173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322491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713333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66757307">
      <w:bodyDiv w:val="1"/>
      <w:marLeft w:val="0"/>
      <w:marRight w:val="0"/>
      <w:marTop w:val="0"/>
      <w:marBottom w:val="0"/>
      <w:divBdr>
        <w:top w:val="none" w:sz="0" w:space="0" w:color="auto"/>
        <w:left w:val="none" w:sz="0" w:space="0" w:color="auto"/>
        <w:bottom w:val="none" w:sz="0" w:space="0" w:color="auto"/>
        <w:right w:val="none" w:sz="0" w:space="0" w:color="auto"/>
      </w:divBdr>
    </w:div>
    <w:div w:id="2094164678">
      <w:bodyDiv w:val="1"/>
      <w:marLeft w:val="0"/>
      <w:marRight w:val="0"/>
      <w:marTop w:val="0"/>
      <w:marBottom w:val="0"/>
      <w:divBdr>
        <w:top w:val="none" w:sz="0" w:space="0" w:color="auto"/>
        <w:left w:val="none" w:sz="0" w:space="0" w:color="auto"/>
        <w:bottom w:val="none" w:sz="0" w:space="0" w:color="auto"/>
        <w:right w:val="none" w:sz="0" w:space="0" w:color="auto"/>
      </w:divBdr>
    </w:div>
    <w:div w:id="211262742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chart" Target="charts/chart1.xml"/><Relationship Id="rId22" Type="http://schemas.openxmlformats.org/officeDocument/2006/relationships/chart" Target="charts/chart4.xml"/></Relationships>
</file>

<file path=word/_rels/footnotes.xml.rels><?xml version="1.0" encoding="UTF-8" standalone="yes"?>
<Relationships xmlns="http://schemas.openxmlformats.org/package/2006/relationships"><Relationship Id="rId2" Type="http://schemas.openxmlformats.org/officeDocument/2006/relationships/hyperlink" Target="https://fch.cl/wp-content/uploads/2019/10/manual-de-tecnologias-de-remediacion-de-sitios-contaminados_baja-1.pdf" TargetMode="External"/><Relationship Id="rId1" Type="http://schemas.openxmlformats.org/officeDocument/2006/relationships/hyperlink" Target="https://static1.squarespace.com/static/52d71403e4b06286127a1d48/t/58124609e4fcb53575c21828/1477592586405/costo+estimado+13+Julio+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F5A-408F-B3B2-CFCBE3B45B00}"/>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F5A-408F-B3B2-CFCBE3B45B00}"/>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F5A-408F-B3B2-CFCBE3B45B00}"/>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F5A-408F-B3B2-CFCBE3B45B00}"/>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EF5A-408F-B3B2-CFCBE3B45B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EF5A-408F-B3B2-CFCBE3B45B0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030704935675696E-3"/>
          <c:y val="3.2917290320777302E-2"/>
          <c:w val="0.99569692950643196"/>
          <c:h val="0.94684370568007203"/>
        </c:manualLayout>
      </c:layout>
      <c:pie3DChart>
        <c:varyColors val="1"/>
        <c:ser>
          <c:idx val="0"/>
          <c:order val="0"/>
          <c:spPr>
            <a:ln>
              <a:solidFill>
                <a:schemeClr val="tx1"/>
              </a:solidFill>
            </a:ln>
          </c:spPr>
          <c:dPt>
            <c:idx val="0"/>
            <c:bubble3D val="0"/>
            <c:spPr>
              <a:solidFill>
                <a:srgbClr val="FFC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1-EC4D-415D-9A02-5F9E2D27741D}"/>
              </c:ext>
            </c:extLst>
          </c:dPt>
          <c:dPt>
            <c:idx val="1"/>
            <c:bubble3D val="0"/>
            <c:spPr>
              <a:pattFill prst="lgCheck">
                <a:fgClr>
                  <a:srgbClr val="FFC000"/>
                </a:fgClr>
                <a:bgClr>
                  <a:schemeClr val="bg1"/>
                </a:bgClr>
              </a:pattFill>
              <a:ln w="25400">
                <a:solidFill>
                  <a:schemeClr val="tx1"/>
                </a:solidFill>
              </a:ln>
              <a:effectLst/>
              <a:sp3d contourW="25400">
                <a:contourClr>
                  <a:schemeClr val="tx1"/>
                </a:contourClr>
              </a:sp3d>
            </c:spPr>
            <c:extLst>
              <c:ext xmlns:c16="http://schemas.microsoft.com/office/drawing/2014/chart" uri="{C3380CC4-5D6E-409C-BE32-E72D297353CC}">
                <c16:uniqueId val="{00000003-EC4D-415D-9A02-5F9E2D27741D}"/>
              </c:ext>
            </c:extLst>
          </c:dPt>
          <c:dPt>
            <c:idx val="2"/>
            <c:bubble3D val="0"/>
            <c:spPr>
              <a:solidFill>
                <a:schemeClr val="accent6"/>
              </a:solidFill>
              <a:ln w="25400">
                <a:solidFill>
                  <a:schemeClr val="tx1"/>
                </a:solidFill>
              </a:ln>
              <a:effectLst/>
              <a:sp3d contourW="25400">
                <a:contourClr>
                  <a:schemeClr val="tx1"/>
                </a:contourClr>
              </a:sp3d>
            </c:spPr>
            <c:extLst>
              <c:ext xmlns:c16="http://schemas.microsoft.com/office/drawing/2014/chart" uri="{C3380CC4-5D6E-409C-BE32-E72D297353CC}">
                <c16:uniqueId val="{00000005-EC4D-415D-9A02-5F9E2D27741D}"/>
              </c:ext>
            </c:extLst>
          </c:dPt>
          <c:dLbls>
            <c:dLbl>
              <c:idx val="0"/>
              <c:layout>
                <c:manualLayout>
                  <c:x val="-0.27909924271313902"/>
                  <c:y val="1.3873043976011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C4D-415D-9A02-5F9E2D27741D}"/>
                </c:ext>
              </c:extLst>
            </c:dLbl>
            <c:dLbl>
              <c:idx val="1"/>
              <c:layout>
                <c:manualLayout>
                  <c:x val="-0.221252559620123"/>
                  <c:y val="-0.2728908671144260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0918046817196199"/>
                      <c:h val="0.29698911266324901"/>
                    </c:manualLayout>
                  </c15:layout>
                </c:ext>
                <c:ext xmlns:c16="http://schemas.microsoft.com/office/drawing/2014/chart" uri="{C3380CC4-5D6E-409C-BE32-E72D297353CC}">
                  <c16:uniqueId val="{00000003-EC4D-415D-9A02-5F9E2D27741D}"/>
                </c:ext>
              </c:extLst>
            </c:dLbl>
            <c:dLbl>
              <c:idx val="2"/>
              <c:layout>
                <c:manualLayout>
                  <c:x val="0.13717867006989601"/>
                  <c:y val="9.5575989636248096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389ECDD-516B-45EE-9251-DA325CAB7968}" type="CATEGORYNAME">
                      <a:rPr lang="en-US" sz="800" b="1"/>
                      <a:pPr>
                        <a:defRPr sz="800">
                          <a:latin typeface="Times New Roman" panose="02020603050405020304" pitchFamily="18" charset="0"/>
                          <a:cs typeface="Times New Roman" panose="02020603050405020304" pitchFamily="18" charset="0"/>
                        </a:defRPr>
                      </a:pPr>
                      <a:t>[NOMBRE DE CATEGORÍA]</a:t>
                    </a:fld>
                    <a:endParaRPr lang="en-US" sz="800" b="1" baseline="0"/>
                  </a:p>
                  <a:p>
                    <a:pPr>
                      <a:defRPr sz="800">
                        <a:latin typeface="Times New Roman" panose="02020603050405020304" pitchFamily="18" charset="0"/>
                        <a:cs typeface="Times New Roman" panose="02020603050405020304" pitchFamily="18" charset="0"/>
                      </a:defRPr>
                    </a:pPr>
                    <a:fld id="{CA542F43-F674-4B80-A15B-768616ECB9D2}" type="VALUE">
                      <a:rPr lang="en-US" sz="800"/>
                      <a:pPr>
                        <a:defRPr sz="800">
                          <a:latin typeface="Times New Roman" panose="02020603050405020304" pitchFamily="18" charset="0"/>
                          <a:cs typeface="Times New Roman" panose="02020603050405020304" pitchFamily="18" charset="0"/>
                        </a:defRPr>
                      </a:pPr>
                      <a:t>[VALOR]</a:t>
                    </a:fld>
                    <a:endParaRPr lang="en-US" sz="800" baseline="0"/>
                  </a:p>
                  <a:p>
                    <a:pPr>
                      <a:defRPr sz="800">
                        <a:latin typeface="Times New Roman" panose="02020603050405020304" pitchFamily="18" charset="0"/>
                        <a:cs typeface="Times New Roman" panose="02020603050405020304" pitchFamily="18" charset="0"/>
                      </a:defRPr>
                    </a:pPr>
                    <a:fld id="{FCE333F6-8979-48F8-BC3E-8A10EFCC5332}" type="PERCENTAGE">
                      <a:rPr lang="en-US" sz="800"/>
                      <a:pPr>
                        <a:defRPr sz="800">
                          <a:latin typeface="Times New Roman" panose="02020603050405020304" pitchFamily="18" charset="0"/>
                          <a:cs typeface="Times New Roman" panose="02020603050405020304" pitchFamily="18" charset="0"/>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6170821459939201"/>
                      <c:h val="0.294217319168049"/>
                    </c:manualLayout>
                  </c15:layout>
                  <c15:dlblFieldTable/>
                  <c15:showDataLabelsRange val="0"/>
                </c:ext>
                <c:ext xmlns:c16="http://schemas.microsoft.com/office/drawing/2014/chart" uri="{C3380CC4-5D6E-409C-BE32-E72D297353CC}">
                  <c16:uniqueId val="{00000005-EC4D-415D-9A02-5F9E2D2774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[Libro1]Hoja1!$B$27:$B$29</c:f>
              <c:strCache>
                <c:ptCount val="3"/>
                <c:pt idx="0">
                  <c:v>Sin investigacion</c:v>
                </c:pt>
                <c:pt idx="1">
                  <c:v>Con labores de investigacion adelantadas</c:v>
                </c:pt>
                <c:pt idx="2">
                  <c:v>Predios sin evidencias de afectación al suelo o agua subterranea del acuifero somero</c:v>
                </c:pt>
              </c:strCache>
            </c:strRef>
          </c:cat>
          <c:val>
            <c:numRef>
              <c:f>[Libro1]Hoja1!$C$27:$C$29</c:f>
              <c:numCache>
                <c:formatCode>General</c:formatCode>
                <c:ptCount val="3"/>
                <c:pt idx="0">
                  <c:v>188</c:v>
                </c:pt>
                <c:pt idx="1">
                  <c:v>138</c:v>
                </c:pt>
                <c:pt idx="2">
                  <c:v>245</c:v>
                </c:pt>
              </c:numCache>
            </c:numRef>
          </c:val>
          <c:extLst>
            <c:ext xmlns:c16="http://schemas.microsoft.com/office/drawing/2014/chart" uri="{C3380CC4-5D6E-409C-BE32-E72D297353CC}">
              <c16:uniqueId val="{00000006-EC4D-415D-9A02-5F9E2D27741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5374232448157E-2"/>
          <c:y val="1.13652009357141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560-4D50-9CA9-F88F39DCFE8C}"/>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560-4D50-9CA9-F88F39DCFE8C}"/>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560-4D50-9CA9-F88F39DCFE8C}"/>
              </c:ext>
            </c:extLst>
          </c:dPt>
          <c:dLbls>
            <c:dLbl>
              <c:idx val="0"/>
              <c:layout>
                <c:manualLayout>
                  <c:x val="-0.16009531562156201"/>
                  <c:y val="6.0826021765639698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4744141559062699"/>
                      <c:h val="0.226887661141805"/>
                    </c:manualLayout>
                  </c15:layout>
                </c:ext>
                <c:ext xmlns:c16="http://schemas.microsoft.com/office/drawing/2014/chart" uri="{C3380CC4-5D6E-409C-BE32-E72D297353CC}">
                  <c16:uniqueId val="{00000001-F560-4D50-9CA9-F88F39DCFE8C}"/>
                </c:ext>
              </c:extLst>
            </c:dLbl>
            <c:dLbl>
              <c:idx val="2"/>
              <c:layout>
                <c:manualLayout>
                  <c:x val="0.217691051498351"/>
                  <c:y val="8.8954622988613799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D81A1296-30AE-43D4-BA31-8DDF7E04A935}" type="CATEGORYNAME">
                      <a:rPr lang="en-US" sz="1000" b="1"/>
                      <a:pPr>
                        <a:defRPr sz="1000" b="1"/>
                      </a:pPr>
                      <a:t>[NOMBRE DE CATEGORÍA]</a:t>
                    </a:fld>
                    <a:endParaRPr lang="en-US" sz="1000" b="1" baseline="0"/>
                  </a:p>
                  <a:p>
                    <a:pPr>
                      <a:defRPr sz="1000" b="1"/>
                    </a:pPr>
                    <a:fld id="{10372F90-2671-4DEC-9613-4A993442E65C}" type="VALUE">
                      <a:rPr lang="en-US" sz="1000" b="1"/>
                      <a:pPr>
                        <a:defRPr sz="1000" b="1"/>
                      </a:pPr>
                      <a:t>[VALOR]</a:t>
                    </a:fld>
                    <a:endParaRPr lang="en-US" sz="1000" b="1" baseline="0"/>
                  </a:p>
                  <a:p>
                    <a:pPr>
                      <a:defRPr sz="1000" b="1"/>
                    </a:pPr>
                    <a:fld id="{3E89D8B9-36D6-4AA8-B820-3F9FD981DBB7}" type="PERCENTAGE">
                      <a:rPr lang="en-US" sz="1000" b="1"/>
                      <a:pPr>
                        <a:defRPr sz="1000"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3080424886191201"/>
                      <c:h val="0.263954138307335"/>
                    </c:manualLayout>
                  </c15:layout>
                  <c15:dlblFieldTable/>
                  <c15:showDataLabelsRange val="0"/>
                </c:ext>
                <c:ext xmlns:c16="http://schemas.microsoft.com/office/drawing/2014/chart" uri="{C3380CC4-5D6E-409C-BE32-E72D297353CC}">
                  <c16:uniqueId val="{00000005-F560-4D50-9CA9-F88F39DCFE8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 graficas'!$B$5:$B$7</c:f>
              <c:strCache>
                <c:ptCount val="3"/>
                <c:pt idx="0">
                  <c:v>Estaciones de servicio</c:v>
                </c:pt>
                <c:pt idx="1">
                  <c:v>Industria y servicios</c:v>
                </c:pt>
                <c:pt idx="2">
                  <c:v>Mineria</c:v>
                </c:pt>
              </c:strCache>
            </c:strRef>
          </c:cat>
          <c:val>
            <c:numRef>
              <c:f>'varios graficas'!$C$5:$C$7</c:f>
              <c:numCache>
                <c:formatCode>General</c:formatCode>
                <c:ptCount val="3"/>
                <c:pt idx="0">
                  <c:v>11.34</c:v>
                </c:pt>
                <c:pt idx="1">
                  <c:v>10.96</c:v>
                </c:pt>
                <c:pt idx="2">
                  <c:v>3.02</c:v>
                </c:pt>
              </c:numCache>
            </c:numRef>
          </c:val>
          <c:extLst>
            <c:ext xmlns:c16="http://schemas.microsoft.com/office/drawing/2014/chart" uri="{C3380CC4-5D6E-409C-BE32-E72D297353CC}">
              <c16:uniqueId val="{00000006-F560-4D50-9CA9-F88F39DCFE8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poblacion!$B$3</c:f>
              <c:strCache>
                <c:ptCount val="1"/>
                <c:pt idx="0">
                  <c:v>SUELOS CONTAMINADOS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poblacion!$B$4:$B$21</c:f>
              <c:numCache>
                <c:formatCode>General</c:formatCode>
                <c:ptCount val="18"/>
                <c:pt idx="2">
                  <c:v>6</c:v>
                </c:pt>
                <c:pt idx="3">
                  <c:v>1</c:v>
                </c:pt>
                <c:pt idx="4">
                  <c:v>19</c:v>
                </c:pt>
                <c:pt idx="5">
                  <c:v>5</c:v>
                </c:pt>
                <c:pt idx="6">
                  <c:v>117</c:v>
                </c:pt>
                <c:pt idx="7">
                  <c:v>21</c:v>
                </c:pt>
                <c:pt idx="9">
                  <c:v>41</c:v>
                </c:pt>
                <c:pt idx="13">
                  <c:v>2</c:v>
                </c:pt>
                <c:pt idx="14">
                  <c:v>1</c:v>
                </c:pt>
                <c:pt idx="15">
                  <c:v>1</c:v>
                </c:pt>
                <c:pt idx="16">
                  <c:v>1</c:v>
                </c:pt>
              </c:numCache>
            </c:numRef>
          </c:val>
          <c:extLst>
            <c:ext xmlns:c16="http://schemas.microsoft.com/office/drawing/2014/chart" uri="{C3380CC4-5D6E-409C-BE32-E72D297353CC}">
              <c16:uniqueId val="{00000000-0A71-4524-A3B5-090FFF331D17}"/>
            </c:ext>
          </c:extLst>
        </c:ser>
        <c:ser>
          <c:idx val="1"/>
          <c:order val="1"/>
          <c:tx>
            <c:strRef>
              <c:f>poblacion!$C$3</c:f>
              <c:strCache>
                <c:ptCount val="1"/>
                <c:pt idx="0">
                  <c:v>HIDROCARBUROS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poblacion!$C$4:$C$21</c:f>
              <c:numCache>
                <c:formatCode>General</c:formatCode>
                <c:ptCount val="18"/>
                <c:pt idx="0">
                  <c:v>48</c:v>
                </c:pt>
                <c:pt idx="1">
                  <c:v>18</c:v>
                </c:pt>
                <c:pt idx="2">
                  <c:v>23</c:v>
                </c:pt>
                <c:pt idx="3">
                  <c:v>52</c:v>
                </c:pt>
                <c:pt idx="4">
                  <c:v>66</c:v>
                </c:pt>
                <c:pt idx="5">
                  <c:v>28</c:v>
                </c:pt>
                <c:pt idx="6">
                  <c:v>61</c:v>
                </c:pt>
                <c:pt idx="7">
                  <c:v>47</c:v>
                </c:pt>
                <c:pt idx="8">
                  <c:v>22</c:v>
                </c:pt>
                <c:pt idx="9">
                  <c:v>14</c:v>
                </c:pt>
                <c:pt idx="10">
                  <c:v>54</c:v>
                </c:pt>
                <c:pt idx="11">
                  <c:v>21</c:v>
                </c:pt>
                <c:pt idx="12">
                  <c:v>16</c:v>
                </c:pt>
                <c:pt idx="13">
                  <c:v>24</c:v>
                </c:pt>
                <c:pt idx="14">
                  <c:v>12</c:v>
                </c:pt>
                <c:pt idx="15">
                  <c:v>24</c:v>
                </c:pt>
                <c:pt idx="16">
                  <c:v>19</c:v>
                </c:pt>
                <c:pt idx="17">
                  <c:v>20</c:v>
                </c:pt>
              </c:numCache>
            </c:numRef>
          </c:val>
          <c:extLst>
            <c:ext xmlns:c16="http://schemas.microsoft.com/office/drawing/2014/chart" uri="{C3380CC4-5D6E-409C-BE32-E72D297353CC}">
              <c16:uniqueId val="{00000001-0A71-4524-A3B5-090FFF331D17}"/>
            </c:ext>
          </c:extLst>
        </c:ser>
        <c:ser>
          <c:idx val="2"/>
          <c:order val="2"/>
          <c:tx>
            <c:strRef>
              <c:f>poblacion!$D$3</c:f>
              <c:strCache>
                <c:ptCount val="1"/>
                <c:pt idx="0">
                  <c:v>MINERIA</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poblacion!$D$4:$D$21</c:f>
              <c:numCache>
                <c:formatCode>General</c:formatCode>
                <c:ptCount val="18"/>
                <c:pt idx="4">
                  <c:v>40</c:v>
                </c:pt>
                <c:pt idx="10">
                  <c:v>19</c:v>
                </c:pt>
                <c:pt idx="11">
                  <c:v>30</c:v>
                </c:pt>
                <c:pt idx="12">
                  <c:v>2</c:v>
                </c:pt>
                <c:pt idx="16">
                  <c:v>32</c:v>
                </c:pt>
                <c:pt idx="17">
                  <c:v>95</c:v>
                </c:pt>
              </c:numCache>
            </c:numRef>
          </c:val>
          <c:extLst>
            <c:ext xmlns:c16="http://schemas.microsoft.com/office/drawing/2014/chart" uri="{C3380CC4-5D6E-409C-BE32-E72D297353CC}">
              <c16:uniqueId val="{00000002-0A71-4524-A3B5-090FFF331D17}"/>
            </c:ext>
          </c:extLst>
        </c:ser>
        <c:dLbls>
          <c:showLegendKey val="0"/>
          <c:showVal val="0"/>
          <c:showCatName val="0"/>
          <c:showSerName val="0"/>
          <c:showPercent val="0"/>
          <c:showBubbleSize val="0"/>
        </c:dLbls>
        <c:gapWidth val="150"/>
        <c:overlap val="100"/>
        <c:axId val="-595902624"/>
        <c:axId val="-732856288"/>
      </c:barChart>
      <c:catAx>
        <c:axId val="-59590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732856288"/>
        <c:crosses val="autoZero"/>
        <c:auto val="1"/>
        <c:lblAlgn val="ctr"/>
        <c:lblOffset val="100"/>
        <c:noMultiLvlLbl val="0"/>
      </c:catAx>
      <c:valAx>
        <c:axId val="-732856288"/>
        <c:scaling>
          <c:orientation val="minMax"/>
          <c:max val="180"/>
        </c:scaling>
        <c:delete val="0"/>
        <c:axPos val="l"/>
        <c:majorGridlines>
          <c:spPr>
            <a:ln w="9525" cap="flat" cmpd="sng" algn="ctr">
              <a:solidFill>
                <a:schemeClr val="tx1">
                  <a:lumMod val="85000"/>
                  <a:lumOff val="15000"/>
                </a:schemeClr>
              </a:solidFill>
              <a:round/>
            </a:ln>
            <a:effectLst/>
          </c:spPr>
        </c:majorGridlines>
        <c:minorGridlines>
          <c:spPr>
            <a:ln w="12700" cap="flat" cmpd="sng" algn="ctr">
              <a:solidFill>
                <a:schemeClr val="bg2"/>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sz="900"/>
                  <a:t>PREDIOS IDENTIFICADOS CON AFECTACION AL SUELO Y AL AGUA SUBTERRANEA DEL ACUIFERO SOMERO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95902624"/>
        <c:crosses val="autoZero"/>
        <c:crossBetween val="between"/>
        <c:minorUnit val="2"/>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EB6FBE-3675-4F54-BE3E-C8FBD4B27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72</Pages>
  <Words>25609</Words>
  <Characters>140852</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7</cp:revision>
  <dcterms:created xsi:type="dcterms:W3CDTF">2023-07-11T17:08:00Z</dcterms:created>
  <dcterms:modified xsi:type="dcterms:W3CDTF">2023-09-07T23:41:00Z</dcterms:modified>
</cp:coreProperties>
</file>