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645082011"/>
        <w:docPartObj>
          <w:docPartGallery w:val="Cover Pages"/>
          <w:docPartUnique/>
        </w:docPartObj>
      </w:sdtPr>
      <w:sdtEndPr>
        <w:rPr>
          <w:lang w:val="es-ES_tradnl" w:eastAsia="es-ES"/>
        </w:rPr>
      </w:sdtEndPr>
      <w:sdtContent>
        <w:p w14:paraId="681D37B3" w14:textId="77777777" w:rsidR="00135C06" w:rsidRDefault="00135C06">
          <w:r>
            <w:rPr>
              <w:noProof/>
              <w:lang w:val="es-CO" w:eastAsia="es-CO"/>
            </w:rPr>
            <mc:AlternateContent>
              <mc:Choice Requires="wpg">
                <w:drawing>
                  <wp:anchor distT="0" distB="0" distL="114300" distR="114300" simplePos="0" relativeHeight="251674624" behindDoc="0" locked="0" layoutInCell="1" allowOverlap="1" wp14:anchorId="0B36F9C7" wp14:editId="7CC285AB">
                    <wp:simplePos x="0" y="0"/>
                    <wp:positionH relativeFrom="page">
                      <wp:align>right</wp:align>
                    </wp:positionH>
                    <wp:positionV relativeFrom="page">
                      <wp:align>top</wp:align>
                    </wp:positionV>
                    <wp:extent cx="3113670" cy="10058400"/>
                    <wp:effectExtent l="0" t="0" r="0" b="0"/>
                    <wp:wrapNone/>
                    <wp:docPr id="453" name="Grupo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rgbClr val="92D050"/>
                            </a:solidFill>
                          </wpg:grpSpPr>
                          <wps:wsp>
                            <wps:cNvPr id="459" name="Rectángulo 459" descr="Light vertical"/>
                            <wps:cNvSpPr>
                              <a:spLocks noChangeArrowheads="1"/>
                            </wps:cNvSpPr>
                            <wps:spPr bwMode="auto">
                              <a:xfrm>
                                <a:off x="0" y="0"/>
                                <a:ext cx="138545" cy="10058400"/>
                              </a:xfrm>
                              <a:prstGeom prst="rect">
                                <a:avLst/>
                              </a:prstGeom>
                              <a:solidFill>
                                <a:srgbClr val="FFC000"/>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124691" y="0"/>
                                <a:ext cx="2971800" cy="10058400"/>
                              </a:xfrm>
                              <a:prstGeom prst="rect">
                                <a:avLst/>
                              </a:prstGeom>
                              <a:solidFill>
                                <a:srgbClr val="FFC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3854" y="0"/>
                                <a:ext cx="3099816" cy="2377440"/>
                              </a:xfrm>
                              <a:prstGeom prst="rect">
                                <a:avLst/>
                              </a:prstGeom>
                              <a:solidFill>
                                <a:srgbClr val="FFC000"/>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96"/>
                                      <w:szCs w:val="96"/>
                                    </w:rPr>
                                    <w:alias w:val="Año"/>
                                    <w:id w:val="1012341074"/>
                                    <w:dataBinding w:prefixMappings="xmlns:ns0='http://schemas.microsoft.com/office/2006/coverPageProps'" w:xpath="/ns0:CoverPageProperties[1]/ns0:PublishDate[1]" w:storeItemID="{55AF091B-3C7A-41E3-B477-F2FDAA23CFDA}"/>
                                    <w:date w:fullDate="2020-01-01T00:00:00Z">
                                      <w:dateFormat w:val="yyyy"/>
                                      <w:lid w:val="es-ES"/>
                                      <w:storeMappedDataAs w:val="dateTime"/>
                                      <w:calendar w:val="gregorian"/>
                                    </w:date>
                                  </w:sdtPr>
                                  <w:sdtEndPr/>
                                  <w:sdtContent>
                                    <w:p w14:paraId="5412FF5F" w14:textId="77777777" w:rsidR="002D2168" w:rsidRDefault="002D2168">
                                      <w:pPr>
                                        <w:pStyle w:val="Sinespaciado"/>
                                        <w:rPr>
                                          <w:color w:val="FFFFFF" w:themeColor="background1"/>
                                          <w:sz w:val="96"/>
                                          <w:szCs w:val="96"/>
                                        </w:rPr>
                                      </w:pPr>
                                      <w:r w:rsidRPr="0097067A">
                                        <w:rPr>
                                          <w:sz w:val="96"/>
                                          <w:szCs w:val="96"/>
                                        </w:rPr>
                                        <w:t>2020</w:t>
                                      </w:r>
                                    </w:p>
                                  </w:sdtContent>
                                </w:sdt>
                              </w:txbxContent>
                            </wps:txbx>
                            <wps:bodyPr rot="0" vert="horz" wrap="square" lIns="365760" tIns="182880" rIns="182880" bIns="182880" anchor="b" anchorCtr="0" upright="1">
                              <a:noAutofit/>
                            </wps:bodyPr>
                          </wps:wsp>
                          <wps:wsp>
                            <wps:cNvPr id="462" name="Rectángulo 9"/>
                            <wps:cNvSpPr>
                              <a:spLocks noChangeArrowheads="1"/>
                            </wps:cNvSpPr>
                            <wps:spPr bwMode="auto">
                              <a:xfrm>
                                <a:off x="0" y="6761018"/>
                                <a:ext cx="3089515" cy="2833370"/>
                              </a:xfrm>
                              <a:prstGeom prst="rect">
                                <a:avLst/>
                              </a:prstGeom>
                              <a:solidFill>
                                <a:srgbClr val="FFC000"/>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i/>
                                    </w:rPr>
                                    <w:alias w:val="Aut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46FA59FC" w14:textId="77777777" w:rsidR="002D2168" w:rsidRPr="00135C06" w:rsidRDefault="002D2168">
                                      <w:pPr>
                                        <w:pStyle w:val="Sinespaciado"/>
                                        <w:spacing w:line="360" w:lineRule="auto"/>
                                        <w:rPr>
                                          <w:i/>
                                        </w:rPr>
                                      </w:pPr>
                                      <w:r w:rsidRPr="00135C06">
                                        <w:rPr>
                                          <w:i/>
                                        </w:rPr>
                                        <w:t>Subdirección de Proyectos y Cooperación Internacional</w:t>
                                      </w:r>
                                    </w:p>
                                  </w:sdtContent>
                                </w:sdt>
                                <w:sdt>
                                  <w:sdtPr>
                                    <w:rPr>
                                      <w:b/>
                                      <w:i/>
                                    </w:rPr>
                                    <w:alias w:val="Compañía"/>
                                    <w:id w:val="1760174317"/>
                                    <w:dataBinding w:prefixMappings="xmlns:ns0='http://schemas.openxmlformats.org/officeDocument/2006/extended-properties'" w:xpath="/ns0:Properties[1]/ns0:Company[1]" w:storeItemID="{6668398D-A668-4E3E-A5EB-62B293D839F1}"/>
                                    <w:text/>
                                  </w:sdtPr>
                                  <w:sdtEndPr/>
                                  <w:sdtContent>
                                    <w:p w14:paraId="0D5AE3B4" w14:textId="77777777" w:rsidR="002D2168" w:rsidRPr="00135C06" w:rsidRDefault="002D2168">
                                      <w:pPr>
                                        <w:pStyle w:val="Sinespaciado"/>
                                        <w:spacing w:line="360" w:lineRule="auto"/>
                                        <w:rPr>
                                          <w:i/>
                                        </w:rPr>
                                      </w:pPr>
                                      <w:r w:rsidRPr="00135C06">
                                        <w:rPr>
                                          <w:b/>
                                          <w:i/>
                                        </w:rPr>
                                        <w:t>SECRETARIA DISTRITAL DE AMBIENTE</w:t>
                                      </w:r>
                                    </w:p>
                                  </w:sdtContent>
                                </w:sdt>
                                <w:p w14:paraId="72DE2AFB" w14:textId="77777777" w:rsidR="002D2168" w:rsidRDefault="002D2168">
                                  <w:pPr>
                                    <w:pStyle w:val="Sinespaciado"/>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B36F9C7" id="Grupo 453" o:spid="_x0000_s1026" style="position:absolute;margin-left:193.95pt;margin-top:0;width:245.15pt;height:11in;z-index:25167462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">
                    <v:rect id="Rectángulo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LM9cUA&#10;AADcAAAADwAAAGRycy9kb3ducmV2LnhtbESP0WrCQBRE3wv+w3KFvtVNEys2dRURhOBDobYfcMne&#10;JsHs3ZBdkzVf3xWEPg4zc4bZ7IJpxUC9aywreF0kIIhLqxuuFPx8H1/WIJxH1thaJgU3crDbzp42&#10;mGs78hcNZ1+JCGGXo4La+y6X0pU1GXQL2xFH79f2Bn2UfSV1j2OEm1amSbKSBhuOCzV2dKipvJyv&#10;RkHQWeY/MRvC/ri6pZdiWuvTpNTzPOw/QHgK/j/8aBdawfLtHe5n4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0sz1xQAAANwAAAAPAAAAAAAAAAAAAAAAAJgCAABkcnMv&#10;ZG93bnJldi54bWxQSwUGAAAAAAQABAD1AAAAigMAAAAA&#10;" fillcolor="#ffc000" stroked="f" strokecolor="white" strokeweight="1pt">
                      <v:shadow color="#d8d8d8" offset="3pt,3pt"/>
                    </v:rect>
                    <v:rect id="Rectángulo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OJcMA&#10;AADcAAAADwAAAGRycy9kb3ducmV2LnhtbERPS0sDMRC+C/6HMII3m/VBkW3TUhVLL0pdbaG3YTNu&#10;tt1MlmTarv/eHASPH997Oh98p04UUxvYwO2oAEVcB9tyY+Dr8/XmEVQSZItdYDLwQwnms8uLKZY2&#10;nPmDTpU0KodwKtGAE+lLrVPtyGMahZ44c98hepQMY6NtxHMO952+K4qx9thybnDY07Oj+lAdvYHN&#10;/vgm25f7ZVy9P+3EDYu4rNbGXF8NiwkooUH+xX/ulTXwMM7z85l8BP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sOJcMAAADcAAAADwAAAAAAAAAAAAAAAACYAgAAZHJzL2Rv&#10;d25yZXYueG1sUEsFBgAAAAAEAAQA9QAAAIgDAAAAAA==&#10;" fillcolor="#ffc000" stroked="f" strokecolor="#d8d8d8"/>
                    <v:rect id="Rectángulo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UvcMA&#10;AADcAAAADwAAAGRycy9kb3ducmV2LnhtbESPUWsCMRCE3wv9D2ELvtXkiog9jVIKYqEPUvUHbJP1&#10;7vCyOW6jnv/eFIQ+DjPzDbNYDaFVF+qliWyhGBtQxC76hisLh/36dQZKErLHNjJZuJHAavn8tMDS&#10;xyv/0GWXKpUhLCVaqFPqSq3F1RRQxrEjzt4x9gFTln2lfY/XDA+tfjNmqgM2nBdq7OizJnfanYOF&#10;b/M+uOJXb8+mO4psCrfeyMza0cvwMQeVaEj/4Uf7y1uYTAv4O5OP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pUvcMAAADcAAAADwAAAAAAAAAAAAAAAACYAgAAZHJzL2Rv&#10;d25yZXYueG1sUEsFBgAAAAAEAAQA9QAAAIgDAAAAAA==&#10;" fillcolor="#ffc000" stroked="f" strokecolor="white" strokeweight="1pt">
                      <v:shadow color="#d8d8d8" offset="3pt,3pt"/>
                      <v:textbox inset="28.8pt,14.4pt,14.4pt,14.4pt">
                        <w:txbxContent>
                          <w:sdt>
                            <w:sdtPr>
                              <w:rPr>
                                <w:sz w:val="96"/>
                                <w:szCs w:val="96"/>
                              </w:rPr>
                              <w:alias w:val="Año"/>
                              <w:id w:val="1012341074"/>
                              <w:dataBinding w:prefixMappings="xmlns:ns0='http://schemas.microsoft.com/office/2006/coverPageProps'" w:xpath="/ns0:CoverPageProperties[1]/ns0:PublishDate[1]" w:storeItemID="{55AF091B-3C7A-41E3-B477-F2FDAA23CFDA}"/>
                              <w:date w:fullDate="2020-01-01T00:00:00Z">
                                <w:dateFormat w:val="yyyy"/>
                                <w:lid w:val="es-ES"/>
                                <w:storeMappedDataAs w:val="dateTime"/>
                                <w:calendar w:val="gregorian"/>
                              </w:date>
                            </w:sdtPr>
                            <w:sdtContent>
                              <w:p w14:paraId="5412FF5F" w14:textId="77777777" w:rsidR="002D2168" w:rsidRDefault="002D2168">
                                <w:pPr>
                                  <w:pStyle w:val="Sinespaciado"/>
                                  <w:rPr>
                                    <w:color w:val="FFFFFF" w:themeColor="background1"/>
                                    <w:sz w:val="96"/>
                                    <w:szCs w:val="96"/>
                                  </w:rPr>
                                </w:pPr>
                                <w:r w:rsidRPr="0097067A">
                                  <w:rPr>
                                    <w:sz w:val="96"/>
                                    <w:szCs w:val="96"/>
                                  </w:rPr>
                                  <w:t>2020</w:t>
                                </w:r>
                              </w:p>
                            </w:sdtContent>
                          </w:sdt>
                        </w:txbxContent>
                      </v:textbox>
                    </v:rect>
                    <v:rect id="Rectángulo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KysMA&#10;AADcAAAADwAAAGRycy9kb3ducmV2LnhtbESPUWsCMRCE3wv+h7BC32pyUsRejVIKYsEHqfYHbJP1&#10;7uhlc9xGPf+9EYQ+DjPzDbNYDaFVZ+qliWyhmBhQxC76hisLP4f1yxyUJGSPbWSycCWB1XL0tMDS&#10;xwt/03mfKpUhLCVaqFPqSq3F1RRQJrEjzt4x9gFTln2lfY+XDA+tnhoz0wEbzgs1dvRZk/vbn4KF&#10;rXkbXPGrdyfTHUU2hVtvZG7t83j4eAeVaEj/4Uf7y1t4nU3hfiYfAb2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jKysMAAADcAAAADwAAAAAAAAAAAAAAAACYAgAAZHJzL2Rv&#10;d25yZXYueG1sUEsFBgAAAAAEAAQA9QAAAIgDAAAAAA==&#10;" fillcolor="#ffc000" stroked="f" strokecolor="white" strokeweight="1pt">
                      <v:shadow color="#d8d8d8" offset="3pt,3pt"/>
                      <v:textbox inset="28.8pt,14.4pt,14.4pt,14.4pt">
                        <w:txbxContent>
                          <w:sdt>
                            <w:sdtPr>
                              <w:rPr>
                                <w:i/>
                              </w:rPr>
                              <w:alias w:val="Autor"/>
                              <w:id w:val="1380359617"/>
                              <w:dataBinding w:prefixMappings="xmlns:ns0='http://schemas.openxmlformats.org/package/2006/metadata/core-properties' xmlns:ns1='http://purl.org/dc/elements/1.1/'" w:xpath="/ns0:coreProperties[1]/ns1:creator[1]" w:storeItemID="{6C3C8BC8-F283-45AE-878A-BAB7291924A1}"/>
                              <w:text/>
                            </w:sdtPr>
                            <w:sdtContent>
                              <w:p w14:paraId="46FA59FC" w14:textId="77777777" w:rsidR="002D2168" w:rsidRPr="00135C06" w:rsidRDefault="002D2168">
                                <w:pPr>
                                  <w:pStyle w:val="Sinespaciado"/>
                                  <w:spacing w:line="360" w:lineRule="auto"/>
                                  <w:rPr>
                                    <w:i/>
                                  </w:rPr>
                                </w:pPr>
                                <w:r w:rsidRPr="00135C06">
                                  <w:rPr>
                                    <w:i/>
                                  </w:rPr>
                                  <w:t>Subdirección de Proyectos y Cooperación Internacional</w:t>
                                </w:r>
                              </w:p>
                            </w:sdtContent>
                          </w:sdt>
                          <w:sdt>
                            <w:sdtPr>
                              <w:rPr>
                                <w:b/>
                                <w:i/>
                              </w:rPr>
                              <w:alias w:val="Compañía"/>
                              <w:id w:val="1760174317"/>
                              <w:dataBinding w:prefixMappings="xmlns:ns0='http://schemas.openxmlformats.org/officeDocument/2006/extended-properties'" w:xpath="/ns0:Properties[1]/ns0:Company[1]" w:storeItemID="{6668398D-A668-4E3E-A5EB-62B293D839F1}"/>
                              <w:text/>
                            </w:sdtPr>
                            <w:sdtContent>
                              <w:p w14:paraId="0D5AE3B4" w14:textId="77777777" w:rsidR="002D2168" w:rsidRPr="00135C06" w:rsidRDefault="002D2168">
                                <w:pPr>
                                  <w:pStyle w:val="Sinespaciado"/>
                                  <w:spacing w:line="360" w:lineRule="auto"/>
                                  <w:rPr>
                                    <w:i/>
                                  </w:rPr>
                                </w:pPr>
                                <w:r w:rsidRPr="00135C06">
                                  <w:rPr>
                                    <w:b/>
                                    <w:i/>
                                  </w:rPr>
                                  <w:t>SECRETARIA DISTRITAL DE AMBIENTE</w:t>
                                </w:r>
                              </w:p>
                            </w:sdtContent>
                          </w:sdt>
                          <w:p w14:paraId="72DE2AFB" w14:textId="77777777" w:rsidR="002D2168" w:rsidRDefault="002D2168">
                            <w:pPr>
                              <w:pStyle w:val="Sinespaciado"/>
                              <w:spacing w:line="360" w:lineRule="auto"/>
                              <w:rPr>
                                <w:color w:val="FFFFFF" w:themeColor="background1"/>
                              </w:rPr>
                            </w:pPr>
                          </w:p>
                        </w:txbxContent>
                      </v:textbox>
                    </v:rect>
                    <w10:wrap anchorx="page" anchory="page"/>
                  </v:group>
                </w:pict>
              </mc:Fallback>
            </mc:AlternateContent>
          </w:r>
        </w:p>
        <w:p w14:paraId="43EEBC66" w14:textId="77777777" w:rsidR="00135C06" w:rsidRDefault="00135C06">
          <w:pPr>
            <w:rPr>
              <w:rFonts w:asciiTheme="majorHAnsi" w:eastAsiaTheme="majorEastAsia" w:hAnsiTheme="majorHAnsi" w:cstheme="majorBidi"/>
              <w:color w:val="2E74B5" w:themeColor="accent1" w:themeShade="BF"/>
              <w:sz w:val="32"/>
              <w:szCs w:val="32"/>
              <w:lang w:val="es-ES_tradnl" w:eastAsia="es-ES"/>
            </w:rPr>
          </w:pPr>
          <w:r>
            <w:rPr>
              <w:noProof/>
              <w:lang w:val="es-CO" w:eastAsia="es-CO"/>
            </w:rPr>
            <w:drawing>
              <wp:anchor distT="0" distB="0" distL="114300" distR="114300" simplePos="0" relativeHeight="251677696" behindDoc="0" locked="0" layoutInCell="1" allowOverlap="1" wp14:anchorId="759B1AC0" wp14:editId="5A5E364D">
                <wp:simplePos x="0" y="0"/>
                <wp:positionH relativeFrom="column">
                  <wp:posOffset>-278751</wp:posOffset>
                </wp:positionH>
                <wp:positionV relativeFrom="paragraph">
                  <wp:posOffset>3314536</wp:posOffset>
                </wp:positionV>
                <wp:extent cx="3195263" cy="2965428"/>
                <wp:effectExtent l="152400" t="152400" r="367665" b="368935"/>
                <wp:wrapNone/>
                <wp:docPr id="19" name="Imagen 19" descr="Secretaría de Ambiente 𓆉 (@Ambientebogota) | Twitter"/>
                <wp:cNvGraphicFramePr/>
                <a:graphic xmlns:a="http://schemas.openxmlformats.org/drawingml/2006/main">
                  <a:graphicData uri="http://schemas.openxmlformats.org/drawingml/2006/picture">
                    <pic:pic xmlns:pic="http://schemas.openxmlformats.org/drawingml/2006/picture">
                      <pic:nvPicPr>
                        <pic:cNvPr id="19" name="Imagen 19" descr="Secretaría de Ambiente 𓆉 (@Ambientebogota) | Twitte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9590" cy="296944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76672" behindDoc="0" locked="0" layoutInCell="0" allowOverlap="1" wp14:anchorId="6B56203B" wp14:editId="06F14423">
                    <wp:simplePos x="0" y="0"/>
                    <wp:positionH relativeFrom="page">
                      <wp:align>left</wp:align>
                    </wp:positionH>
                    <wp:positionV relativeFrom="page">
                      <wp:posOffset>3222911</wp:posOffset>
                    </wp:positionV>
                    <wp:extent cx="6970395" cy="640080"/>
                    <wp:effectExtent l="0" t="0" r="15240" b="19685"/>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99FF33"/>
                            </a:solidFill>
                            <a:ln w="19050">
                              <a:solidFill>
                                <a:srgbClr val="92D050"/>
                              </a:solidFill>
                              <a:miter lim="800000"/>
                              <a:headEnd/>
                              <a:tailEnd/>
                            </a:ln>
                          </wps:spPr>
                          <wps:txbx>
                            <w:txbxContent>
                              <w:sdt>
                                <w:sdtPr>
                                  <w:rPr>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Título"/>
                                  <w:id w:val="-1704864950"/>
                                  <w:dataBinding w:prefixMappings="xmlns:ns0='http://schemas.openxmlformats.org/package/2006/metadata/core-properties' xmlns:ns1='http://purl.org/dc/elements/1.1/'" w:xpath="/ns0:coreProperties[1]/ns1:title[1]" w:storeItemID="{6C3C8BC8-F283-45AE-878A-BAB7291924A1}"/>
                                  <w:text/>
                                </w:sdtPr>
                                <w:sdtEndPr/>
                                <w:sdtContent>
                                  <w:p w14:paraId="0B7CE7DF" w14:textId="7E37602D" w:rsidR="002D2168" w:rsidRPr="00135C06" w:rsidRDefault="002D2168">
                                    <w:pPr>
                                      <w:pStyle w:val="Sinespaciado"/>
                                      <w:jc w:val="right"/>
                                      <w:rPr>
                                        <w:color w:val="FFFFFF" w:themeColor="background1"/>
                                        <w:sz w:val="52"/>
                                        <w:szCs w:val="72"/>
                                      </w:rPr>
                                    </w:pPr>
                                    <w:r w:rsidRPr="0097067A">
                                      <w:rPr>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INFORME INDICADORES DE GESTIÓN - ABRIL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B56203B" id="Rectángulo 16" o:spid="_x0000_s1031" style="position:absolute;margin-left:0;margin-top:253.75pt;width:548.85pt;height:50.4pt;z-index:25167667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" o:allowincell="f" fillcolor="#9f3" strokecolor="#92d050" strokeweight="1.5pt">
                    <v:textbox style="mso-fit-shape-to-text:t" inset="14.4pt,,14.4pt">
                      <w:txbxContent>
                        <w:sdt>
                          <w:sdtPr>
                            <w:rPr>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14:paraId="0B7CE7DF" w14:textId="7E37602D" w:rsidR="002D2168" w:rsidRPr="00135C06" w:rsidRDefault="002D2168">
                              <w:pPr>
                                <w:pStyle w:val="Sinespaciado"/>
                                <w:jc w:val="right"/>
                                <w:rPr>
                                  <w:color w:val="FFFFFF" w:themeColor="background1"/>
                                  <w:sz w:val="52"/>
                                  <w:szCs w:val="72"/>
                                </w:rPr>
                              </w:pPr>
                              <w:r w:rsidRPr="0097067A">
                                <w:rPr>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INFORME INDICADORES DE GESTIÓN - ABRIL</w:t>
                              </w:r>
                            </w:p>
                          </w:sdtContent>
                        </w:sdt>
                      </w:txbxContent>
                    </v:textbox>
                    <w10:wrap anchorx="page" anchory="page"/>
                  </v:rect>
                </w:pict>
              </mc:Fallback>
            </mc:AlternateContent>
          </w:r>
          <w:r>
            <w:rPr>
              <w:lang w:val="es-ES_tradnl" w:eastAsia="es-ES"/>
            </w:rPr>
            <w:br w:type="page"/>
          </w:r>
        </w:p>
      </w:sdtContent>
    </w:sdt>
    <w:sdt>
      <w:sdtPr>
        <w:rPr>
          <w:rFonts w:asciiTheme="minorHAnsi" w:eastAsiaTheme="minorHAnsi" w:hAnsiTheme="minorHAnsi" w:cstheme="minorBidi"/>
          <w:color w:val="auto"/>
          <w:sz w:val="22"/>
          <w:szCs w:val="22"/>
          <w:lang w:val="es-ES" w:eastAsia="en-US"/>
        </w:rPr>
        <w:id w:val="-2131921964"/>
        <w:docPartObj>
          <w:docPartGallery w:val="Table of Contents"/>
          <w:docPartUnique/>
        </w:docPartObj>
      </w:sdtPr>
      <w:sdtEndPr>
        <w:rPr>
          <w:b/>
          <w:bCs/>
        </w:rPr>
      </w:sdtEndPr>
      <w:sdtContent>
        <w:p w14:paraId="38BE5DE3" w14:textId="77777777" w:rsidR="00135C06" w:rsidRDefault="00135C06" w:rsidP="00135C06">
          <w:pPr>
            <w:pStyle w:val="TtulodeTDC"/>
            <w:jc w:val="center"/>
          </w:pPr>
          <w:r>
            <w:rPr>
              <w:lang w:val="es-ES"/>
            </w:rPr>
            <w:t>Contenido</w:t>
          </w:r>
        </w:p>
        <w:p w14:paraId="5B4FA2A4" w14:textId="77777777" w:rsidR="00F76B16" w:rsidRDefault="00135C06">
          <w:pPr>
            <w:pStyle w:val="TDC1"/>
            <w:tabs>
              <w:tab w:val="left" w:pos="440"/>
              <w:tab w:val="right" w:leader="dot" w:pos="8828"/>
            </w:tabs>
            <w:rPr>
              <w:rFonts w:eastAsiaTheme="minorEastAsia"/>
              <w:noProof/>
              <w:lang w:val="es-CO" w:eastAsia="es-CO"/>
            </w:rPr>
          </w:pPr>
          <w:r>
            <w:fldChar w:fldCharType="begin"/>
          </w:r>
          <w:r>
            <w:instrText xml:space="preserve"> TOC \o "1-3" \h \z \u </w:instrText>
          </w:r>
          <w:r>
            <w:fldChar w:fldCharType="separate"/>
          </w:r>
          <w:hyperlink w:anchor="_Toc41378111" w:history="1">
            <w:r w:rsidR="00F76B16" w:rsidRPr="00040916">
              <w:rPr>
                <w:rStyle w:val="Hipervnculo"/>
                <w:noProof/>
              </w:rPr>
              <w:t>1.</w:t>
            </w:r>
            <w:r w:rsidR="00F76B16">
              <w:rPr>
                <w:rFonts w:eastAsiaTheme="minorEastAsia"/>
                <w:noProof/>
                <w:lang w:val="es-CO" w:eastAsia="es-CO"/>
              </w:rPr>
              <w:tab/>
            </w:r>
            <w:r w:rsidR="00F76B16" w:rsidRPr="00040916">
              <w:rPr>
                <w:rStyle w:val="Hipervnculo"/>
                <w:noProof/>
              </w:rPr>
              <w:t>Presentación</w:t>
            </w:r>
            <w:r w:rsidR="00F76B16">
              <w:rPr>
                <w:noProof/>
                <w:webHidden/>
              </w:rPr>
              <w:tab/>
            </w:r>
            <w:r w:rsidR="00F76B16">
              <w:rPr>
                <w:noProof/>
                <w:webHidden/>
              </w:rPr>
              <w:fldChar w:fldCharType="begin"/>
            </w:r>
            <w:r w:rsidR="00F76B16">
              <w:rPr>
                <w:noProof/>
                <w:webHidden/>
              </w:rPr>
              <w:instrText xml:space="preserve"> PAGEREF _Toc41378111 \h </w:instrText>
            </w:r>
            <w:r w:rsidR="00F76B16">
              <w:rPr>
                <w:noProof/>
                <w:webHidden/>
              </w:rPr>
            </w:r>
            <w:r w:rsidR="00F76B16">
              <w:rPr>
                <w:noProof/>
                <w:webHidden/>
              </w:rPr>
              <w:fldChar w:fldCharType="separate"/>
            </w:r>
            <w:r w:rsidR="00F76B16">
              <w:rPr>
                <w:noProof/>
                <w:webHidden/>
              </w:rPr>
              <w:t>2</w:t>
            </w:r>
            <w:r w:rsidR="00F76B16">
              <w:rPr>
                <w:noProof/>
                <w:webHidden/>
              </w:rPr>
              <w:fldChar w:fldCharType="end"/>
            </w:r>
          </w:hyperlink>
        </w:p>
        <w:p w14:paraId="191F57D4" w14:textId="77777777" w:rsidR="00F76B16" w:rsidRDefault="00567E7C">
          <w:pPr>
            <w:pStyle w:val="TDC1"/>
            <w:tabs>
              <w:tab w:val="left" w:pos="440"/>
              <w:tab w:val="right" w:leader="dot" w:pos="8828"/>
            </w:tabs>
            <w:rPr>
              <w:rFonts w:eastAsiaTheme="minorEastAsia"/>
              <w:noProof/>
              <w:lang w:val="es-CO" w:eastAsia="es-CO"/>
            </w:rPr>
          </w:pPr>
          <w:hyperlink w:anchor="_Toc41378112" w:history="1">
            <w:r w:rsidR="00F76B16" w:rsidRPr="00040916">
              <w:rPr>
                <w:rStyle w:val="Hipervnculo"/>
                <w:noProof/>
              </w:rPr>
              <w:t>2.</w:t>
            </w:r>
            <w:r w:rsidR="00F76B16">
              <w:rPr>
                <w:rFonts w:eastAsiaTheme="minorEastAsia"/>
                <w:noProof/>
                <w:lang w:val="es-CO" w:eastAsia="es-CO"/>
              </w:rPr>
              <w:tab/>
            </w:r>
            <w:r w:rsidR="00F76B16" w:rsidRPr="00040916">
              <w:rPr>
                <w:rStyle w:val="Hipervnculo"/>
                <w:noProof/>
              </w:rPr>
              <w:t>Generalidades</w:t>
            </w:r>
            <w:r w:rsidR="00F76B16">
              <w:rPr>
                <w:noProof/>
                <w:webHidden/>
              </w:rPr>
              <w:tab/>
            </w:r>
            <w:r w:rsidR="00F76B16">
              <w:rPr>
                <w:noProof/>
                <w:webHidden/>
              </w:rPr>
              <w:fldChar w:fldCharType="begin"/>
            </w:r>
            <w:r w:rsidR="00F76B16">
              <w:rPr>
                <w:noProof/>
                <w:webHidden/>
              </w:rPr>
              <w:instrText xml:space="preserve"> PAGEREF _Toc41378112 \h </w:instrText>
            </w:r>
            <w:r w:rsidR="00F76B16">
              <w:rPr>
                <w:noProof/>
                <w:webHidden/>
              </w:rPr>
            </w:r>
            <w:r w:rsidR="00F76B16">
              <w:rPr>
                <w:noProof/>
                <w:webHidden/>
              </w:rPr>
              <w:fldChar w:fldCharType="separate"/>
            </w:r>
            <w:r w:rsidR="00F76B16">
              <w:rPr>
                <w:noProof/>
                <w:webHidden/>
              </w:rPr>
              <w:t>2</w:t>
            </w:r>
            <w:r w:rsidR="00F76B16">
              <w:rPr>
                <w:noProof/>
                <w:webHidden/>
              </w:rPr>
              <w:fldChar w:fldCharType="end"/>
            </w:r>
          </w:hyperlink>
        </w:p>
        <w:p w14:paraId="62792938" w14:textId="77777777" w:rsidR="00F76B16" w:rsidRDefault="00567E7C">
          <w:pPr>
            <w:pStyle w:val="TDC1"/>
            <w:tabs>
              <w:tab w:val="left" w:pos="440"/>
              <w:tab w:val="right" w:leader="dot" w:pos="8828"/>
            </w:tabs>
            <w:rPr>
              <w:rFonts w:eastAsiaTheme="minorEastAsia"/>
              <w:noProof/>
              <w:lang w:val="es-CO" w:eastAsia="es-CO"/>
            </w:rPr>
          </w:pPr>
          <w:hyperlink w:anchor="_Toc41378113" w:history="1">
            <w:r w:rsidR="00F76B16" w:rsidRPr="00040916">
              <w:rPr>
                <w:rStyle w:val="Hipervnculo"/>
                <w:noProof/>
              </w:rPr>
              <w:t>3.</w:t>
            </w:r>
            <w:r w:rsidR="00F76B16">
              <w:rPr>
                <w:rFonts w:eastAsiaTheme="minorEastAsia"/>
                <w:noProof/>
                <w:lang w:val="es-CO" w:eastAsia="es-CO"/>
              </w:rPr>
              <w:tab/>
            </w:r>
            <w:r w:rsidR="00F76B16" w:rsidRPr="00040916">
              <w:rPr>
                <w:rStyle w:val="Hipervnculo"/>
                <w:noProof/>
              </w:rPr>
              <w:t>Metodología</w:t>
            </w:r>
            <w:r w:rsidR="00F76B16">
              <w:rPr>
                <w:noProof/>
                <w:webHidden/>
              </w:rPr>
              <w:tab/>
            </w:r>
            <w:r w:rsidR="00F76B16">
              <w:rPr>
                <w:noProof/>
                <w:webHidden/>
              </w:rPr>
              <w:fldChar w:fldCharType="begin"/>
            </w:r>
            <w:r w:rsidR="00F76B16">
              <w:rPr>
                <w:noProof/>
                <w:webHidden/>
              </w:rPr>
              <w:instrText xml:space="preserve"> PAGEREF _Toc41378113 \h </w:instrText>
            </w:r>
            <w:r w:rsidR="00F76B16">
              <w:rPr>
                <w:noProof/>
                <w:webHidden/>
              </w:rPr>
            </w:r>
            <w:r w:rsidR="00F76B16">
              <w:rPr>
                <w:noProof/>
                <w:webHidden/>
              </w:rPr>
              <w:fldChar w:fldCharType="separate"/>
            </w:r>
            <w:r w:rsidR="00F76B16">
              <w:rPr>
                <w:noProof/>
                <w:webHidden/>
              </w:rPr>
              <w:t>2</w:t>
            </w:r>
            <w:r w:rsidR="00F76B16">
              <w:rPr>
                <w:noProof/>
                <w:webHidden/>
              </w:rPr>
              <w:fldChar w:fldCharType="end"/>
            </w:r>
          </w:hyperlink>
        </w:p>
        <w:p w14:paraId="5D2F34F0" w14:textId="77777777" w:rsidR="00F76B16" w:rsidRDefault="00567E7C">
          <w:pPr>
            <w:pStyle w:val="TDC1"/>
            <w:tabs>
              <w:tab w:val="left" w:pos="440"/>
              <w:tab w:val="right" w:leader="dot" w:pos="8828"/>
            </w:tabs>
            <w:rPr>
              <w:rFonts w:eastAsiaTheme="minorEastAsia"/>
              <w:noProof/>
              <w:lang w:val="es-CO" w:eastAsia="es-CO"/>
            </w:rPr>
          </w:pPr>
          <w:hyperlink w:anchor="_Toc41378114" w:history="1">
            <w:r w:rsidR="00F76B16" w:rsidRPr="00040916">
              <w:rPr>
                <w:rStyle w:val="Hipervnculo"/>
                <w:noProof/>
              </w:rPr>
              <w:t>4.</w:t>
            </w:r>
            <w:r w:rsidR="00F76B16">
              <w:rPr>
                <w:rFonts w:eastAsiaTheme="minorEastAsia"/>
                <w:noProof/>
                <w:lang w:val="es-CO" w:eastAsia="es-CO"/>
              </w:rPr>
              <w:tab/>
            </w:r>
            <w:r w:rsidR="00F76B16" w:rsidRPr="00040916">
              <w:rPr>
                <w:rStyle w:val="Hipervnculo"/>
                <w:noProof/>
              </w:rPr>
              <w:t>Fuente de información de datos</w:t>
            </w:r>
            <w:r w:rsidR="00F76B16">
              <w:rPr>
                <w:noProof/>
                <w:webHidden/>
              </w:rPr>
              <w:tab/>
            </w:r>
            <w:r w:rsidR="00F76B16">
              <w:rPr>
                <w:noProof/>
                <w:webHidden/>
              </w:rPr>
              <w:fldChar w:fldCharType="begin"/>
            </w:r>
            <w:r w:rsidR="00F76B16">
              <w:rPr>
                <w:noProof/>
                <w:webHidden/>
              </w:rPr>
              <w:instrText xml:space="preserve"> PAGEREF _Toc41378114 \h </w:instrText>
            </w:r>
            <w:r w:rsidR="00F76B16">
              <w:rPr>
                <w:noProof/>
                <w:webHidden/>
              </w:rPr>
            </w:r>
            <w:r w:rsidR="00F76B16">
              <w:rPr>
                <w:noProof/>
                <w:webHidden/>
              </w:rPr>
              <w:fldChar w:fldCharType="separate"/>
            </w:r>
            <w:r w:rsidR="00F76B16">
              <w:rPr>
                <w:noProof/>
                <w:webHidden/>
              </w:rPr>
              <w:t>3</w:t>
            </w:r>
            <w:r w:rsidR="00F76B16">
              <w:rPr>
                <w:noProof/>
                <w:webHidden/>
              </w:rPr>
              <w:fldChar w:fldCharType="end"/>
            </w:r>
          </w:hyperlink>
        </w:p>
        <w:p w14:paraId="770ED518" w14:textId="77777777" w:rsidR="00F76B16" w:rsidRDefault="00567E7C">
          <w:pPr>
            <w:pStyle w:val="TDC2"/>
            <w:tabs>
              <w:tab w:val="left" w:pos="880"/>
              <w:tab w:val="right" w:leader="dot" w:pos="8828"/>
            </w:tabs>
            <w:rPr>
              <w:rFonts w:eastAsiaTheme="minorEastAsia"/>
              <w:noProof/>
              <w:lang w:val="es-CO" w:eastAsia="es-CO"/>
            </w:rPr>
          </w:pPr>
          <w:hyperlink w:anchor="_Toc41378115" w:history="1">
            <w:r w:rsidR="00F76B16" w:rsidRPr="00040916">
              <w:rPr>
                <w:rStyle w:val="Hipervnculo"/>
                <w:noProof/>
              </w:rPr>
              <w:t>4.1.</w:t>
            </w:r>
            <w:r w:rsidR="00F76B16">
              <w:rPr>
                <w:rFonts w:eastAsiaTheme="minorEastAsia"/>
                <w:noProof/>
                <w:lang w:val="es-CO" w:eastAsia="es-CO"/>
              </w:rPr>
              <w:tab/>
            </w:r>
            <w:r w:rsidR="00F76B16" w:rsidRPr="00040916">
              <w:rPr>
                <w:rStyle w:val="Hipervnculo"/>
                <w:noProof/>
              </w:rPr>
              <w:t>Indicadores en estado sobresaliente</w:t>
            </w:r>
            <w:r w:rsidR="00F76B16">
              <w:rPr>
                <w:noProof/>
                <w:webHidden/>
              </w:rPr>
              <w:tab/>
            </w:r>
            <w:r w:rsidR="00F76B16">
              <w:rPr>
                <w:noProof/>
                <w:webHidden/>
              </w:rPr>
              <w:fldChar w:fldCharType="begin"/>
            </w:r>
            <w:r w:rsidR="00F76B16">
              <w:rPr>
                <w:noProof/>
                <w:webHidden/>
              </w:rPr>
              <w:instrText xml:space="preserve"> PAGEREF _Toc41378115 \h </w:instrText>
            </w:r>
            <w:r w:rsidR="00F76B16">
              <w:rPr>
                <w:noProof/>
                <w:webHidden/>
              </w:rPr>
            </w:r>
            <w:r w:rsidR="00F76B16">
              <w:rPr>
                <w:noProof/>
                <w:webHidden/>
              </w:rPr>
              <w:fldChar w:fldCharType="separate"/>
            </w:r>
            <w:r w:rsidR="00F76B16">
              <w:rPr>
                <w:noProof/>
                <w:webHidden/>
              </w:rPr>
              <w:t>4</w:t>
            </w:r>
            <w:r w:rsidR="00F76B16">
              <w:rPr>
                <w:noProof/>
                <w:webHidden/>
              </w:rPr>
              <w:fldChar w:fldCharType="end"/>
            </w:r>
          </w:hyperlink>
        </w:p>
        <w:p w14:paraId="0F11E7DE" w14:textId="77777777" w:rsidR="00F76B16" w:rsidRDefault="00567E7C">
          <w:pPr>
            <w:pStyle w:val="TDC2"/>
            <w:tabs>
              <w:tab w:val="left" w:pos="880"/>
              <w:tab w:val="right" w:leader="dot" w:pos="8828"/>
            </w:tabs>
            <w:rPr>
              <w:rFonts w:eastAsiaTheme="minorEastAsia"/>
              <w:noProof/>
              <w:lang w:val="es-CO" w:eastAsia="es-CO"/>
            </w:rPr>
          </w:pPr>
          <w:hyperlink w:anchor="_Toc41378116" w:history="1">
            <w:r w:rsidR="00F76B16" w:rsidRPr="00040916">
              <w:rPr>
                <w:rStyle w:val="Hipervnculo"/>
                <w:noProof/>
              </w:rPr>
              <w:t>4.2.</w:t>
            </w:r>
            <w:r w:rsidR="00F76B16">
              <w:rPr>
                <w:rFonts w:eastAsiaTheme="minorEastAsia"/>
                <w:noProof/>
                <w:lang w:val="es-CO" w:eastAsia="es-CO"/>
              </w:rPr>
              <w:tab/>
            </w:r>
            <w:r w:rsidR="00F76B16" w:rsidRPr="00040916">
              <w:rPr>
                <w:rStyle w:val="Hipervnculo"/>
                <w:noProof/>
              </w:rPr>
              <w:t>Indicadores en estado aceptable</w:t>
            </w:r>
            <w:r w:rsidR="00F76B16">
              <w:rPr>
                <w:noProof/>
                <w:webHidden/>
              </w:rPr>
              <w:tab/>
            </w:r>
            <w:r w:rsidR="00F76B16">
              <w:rPr>
                <w:noProof/>
                <w:webHidden/>
              </w:rPr>
              <w:fldChar w:fldCharType="begin"/>
            </w:r>
            <w:r w:rsidR="00F76B16">
              <w:rPr>
                <w:noProof/>
                <w:webHidden/>
              </w:rPr>
              <w:instrText xml:space="preserve"> PAGEREF _Toc41378116 \h </w:instrText>
            </w:r>
            <w:r w:rsidR="00F76B16">
              <w:rPr>
                <w:noProof/>
                <w:webHidden/>
              </w:rPr>
            </w:r>
            <w:r w:rsidR="00F76B16">
              <w:rPr>
                <w:noProof/>
                <w:webHidden/>
              </w:rPr>
              <w:fldChar w:fldCharType="separate"/>
            </w:r>
            <w:r w:rsidR="00F76B16">
              <w:rPr>
                <w:noProof/>
                <w:webHidden/>
              </w:rPr>
              <w:t>5</w:t>
            </w:r>
            <w:r w:rsidR="00F76B16">
              <w:rPr>
                <w:noProof/>
                <w:webHidden/>
              </w:rPr>
              <w:fldChar w:fldCharType="end"/>
            </w:r>
          </w:hyperlink>
        </w:p>
        <w:p w14:paraId="3CF8E3B9" w14:textId="77777777" w:rsidR="00F76B16" w:rsidRDefault="00567E7C">
          <w:pPr>
            <w:pStyle w:val="TDC2"/>
            <w:tabs>
              <w:tab w:val="left" w:pos="880"/>
              <w:tab w:val="right" w:leader="dot" w:pos="8828"/>
            </w:tabs>
            <w:rPr>
              <w:rFonts w:eastAsiaTheme="minorEastAsia"/>
              <w:noProof/>
              <w:lang w:val="es-CO" w:eastAsia="es-CO"/>
            </w:rPr>
          </w:pPr>
          <w:hyperlink w:anchor="_Toc41378117" w:history="1">
            <w:r w:rsidR="00F76B16" w:rsidRPr="00040916">
              <w:rPr>
                <w:rStyle w:val="Hipervnculo"/>
                <w:noProof/>
              </w:rPr>
              <w:t>4.3.</w:t>
            </w:r>
            <w:r w:rsidR="00F76B16">
              <w:rPr>
                <w:rFonts w:eastAsiaTheme="minorEastAsia"/>
                <w:noProof/>
                <w:lang w:val="es-CO" w:eastAsia="es-CO"/>
              </w:rPr>
              <w:tab/>
            </w:r>
            <w:r w:rsidR="00F76B16" w:rsidRPr="00040916">
              <w:rPr>
                <w:rStyle w:val="Hipervnculo"/>
                <w:noProof/>
              </w:rPr>
              <w:t>Indicadores en estado insuficiente</w:t>
            </w:r>
            <w:r w:rsidR="00F76B16">
              <w:rPr>
                <w:noProof/>
                <w:webHidden/>
              </w:rPr>
              <w:tab/>
            </w:r>
            <w:r w:rsidR="00F76B16">
              <w:rPr>
                <w:noProof/>
                <w:webHidden/>
              </w:rPr>
              <w:fldChar w:fldCharType="begin"/>
            </w:r>
            <w:r w:rsidR="00F76B16">
              <w:rPr>
                <w:noProof/>
                <w:webHidden/>
              </w:rPr>
              <w:instrText xml:space="preserve"> PAGEREF _Toc41378117 \h </w:instrText>
            </w:r>
            <w:r w:rsidR="00F76B16">
              <w:rPr>
                <w:noProof/>
                <w:webHidden/>
              </w:rPr>
            </w:r>
            <w:r w:rsidR="00F76B16">
              <w:rPr>
                <w:noProof/>
                <w:webHidden/>
              </w:rPr>
              <w:fldChar w:fldCharType="separate"/>
            </w:r>
            <w:r w:rsidR="00F76B16">
              <w:rPr>
                <w:noProof/>
                <w:webHidden/>
              </w:rPr>
              <w:t>5</w:t>
            </w:r>
            <w:r w:rsidR="00F76B16">
              <w:rPr>
                <w:noProof/>
                <w:webHidden/>
              </w:rPr>
              <w:fldChar w:fldCharType="end"/>
            </w:r>
          </w:hyperlink>
        </w:p>
        <w:p w14:paraId="33451343" w14:textId="77777777" w:rsidR="00F76B16" w:rsidRDefault="00567E7C">
          <w:pPr>
            <w:pStyle w:val="TDC2"/>
            <w:tabs>
              <w:tab w:val="left" w:pos="880"/>
              <w:tab w:val="right" w:leader="dot" w:pos="8828"/>
            </w:tabs>
            <w:rPr>
              <w:rFonts w:eastAsiaTheme="minorEastAsia"/>
              <w:noProof/>
              <w:lang w:val="es-CO" w:eastAsia="es-CO"/>
            </w:rPr>
          </w:pPr>
          <w:hyperlink w:anchor="_Toc41378118" w:history="1">
            <w:r w:rsidR="00F76B16" w:rsidRPr="00040916">
              <w:rPr>
                <w:rStyle w:val="Hipervnculo"/>
                <w:noProof/>
              </w:rPr>
              <w:t>4.4.</w:t>
            </w:r>
            <w:r w:rsidR="00F76B16">
              <w:rPr>
                <w:rFonts w:eastAsiaTheme="minorEastAsia"/>
                <w:noProof/>
                <w:lang w:val="es-CO" w:eastAsia="es-CO"/>
              </w:rPr>
              <w:tab/>
            </w:r>
            <w:r w:rsidR="00F76B16" w:rsidRPr="00040916">
              <w:rPr>
                <w:rStyle w:val="Hipervnculo"/>
                <w:noProof/>
              </w:rPr>
              <w:t>Indicadores con ejecución del más del 100%</w:t>
            </w:r>
            <w:r w:rsidR="00F76B16">
              <w:rPr>
                <w:noProof/>
                <w:webHidden/>
              </w:rPr>
              <w:tab/>
            </w:r>
            <w:r w:rsidR="00F76B16">
              <w:rPr>
                <w:noProof/>
                <w:webHidden/>
              </w:rPr>
              <w:fldChar w:fldCharType="begin"/>
            </w:r>
            <w:r w:rsidR="00F76B16">
              <w:rPr>
                <w:noProof/>
                <w:webHidden/>
              </w:rPr>
              <w:instrText xml:space="preserve"> PAGEREF _Toc41378118 \h </w:instrText>
            </w:r>
            <w:r w:rsidR="00F76B16">
              <w:rPr>
                <w:noProof/>
                <w:webHidden/>
              </w:rPr>
            </w:r>
            <w:r w:rsidR="00F76B16">
              <w:rPr>
                <w:noProof/>
                <w:webHidden/>
              </w:rPr>
              <w:fldChar w:fldCharType="separate"/>
            </w:r>
            <w:r w:rsidR="00F76B16">
              <w:rPr>
                <w:noProof/>
                <w:webHidden/>
              </w:rPr>
              <w:t>6</w:t>
            </w:r>
            <w:r w:rsidR="00F76B16">
              <w:rPr>
                <w:noProof/>
                <w:webHidden/>
              </w:rPr>
              <w:fldChar w:fldCharType="end"/>
            </w:r>
          </w:hyperlink>
        </w:p>
        <w:p w14:paraId="7C00D01F" w14:textId="77777777" w:rsidR="00F76B16" w:rsidRDefault="00567E7C">
          <w:pPr>
            <w:pStyle w:val="TDC1"/>
            <w:tabs>
              <w:tab w:val="left" w:pos="440"/>
              <w:tab w:val="right" w:leader="dot" w:pos="8828"/>
            </w:tabs>
            <w:rPr>
              <w:rFonts w:eastAsiaTheme="minorEastAsia"/>
              <w:noProof/>
              <w:lang w:val="es-CO" w:eastAsia="es-CO"/>
            </w:rPr>
          </w:pPr>
          <w:hyperlink w:anchor="_Toc41378119" w:history="1">
            <w:r w:rsidR="00F76B16" w:rsidRPr="00040916">
              <w:rPr>
                <w:rStyle w:val="Hipervnculo"/>
                <w:noProof/>
              </w:rPr>
              <w:t>5.</w:t>
            </w:r>
            <w:r w:rsidR="00F76B16">
              <w:rPr>
                <w:rFonts w:eastAsiaTheme="minorEastAsia"/>
                <w:noProof/>
                <w:lang w:val="es-CO" w:eastAsia="es-CO"/>
              </w:rPr>
              <w:tab/>
            </w:r>
            <w:r w:rsidR="00F76B16" w:rsidRPr="00040916">
              <w:rPr>
                <w:rStyle w:val="Hipervnculo"/>
                <w:noProof/>
              </w:rPr>
              <w:t>Evaluación de cumplimiento</w:t>
            </w:r>
            <w:r w:rsidR="00F76B16">
              <w:rPr>
                <w:noProof/>
                <w:webHidden/>
              </w:rPr>
              <w:tab/>
            </w:r>
            <w:r w:rsidR="00F76B16">
              <w:rPr>
                <w:noProof/>
                <w:webHidden/>
              </w:rPr>
              <w:fldChar w:fldCharType="begin"/>
            </w:r>
            <w:r w:rsidR="00F76B16">
              <w:rPr>
                <w:noProof/>
                <w:webHidden/>
              </w:rPr>
              <w:instrText xml:space="preserve"> PAGEREF _Toc41378119 \h </w:instrText>
            </w:r>
            <w:r w:rsidR="00F76B16">
              <w:rPr>
                <w:noProof/>
                <w:webHidden/>
              </w:rPr>
            </w:r>
            <w:r w:rsidR="00F76B16">
              <w:rPr>
                <w:noProof/>
                <w:webHidden/>
              </w:rPr>
              <w:fldChar w:fldCharType="separate"/>
            </w:r>
            <w:r w:rsidR="00F76B16">
              <w:rPr>
                <w:noProof/>
                <w:webHidden/>
              </w:rPr>
              <w:t>7</w:t>
            </w:r>
            <w:r w:rsidR="00F76B16">
              <w:rPr>
                <w:noProof/>
                <w:webHidden/>
              </w:rPr>
              <w:fldChar w:fldCharType="end"/>
            </w:r>
          </w:hyperlink>
        </w:p>
        <w:p w14:paraId="463D2CD9" w14:textId="77777777" w:rsidR="00F76B16" w:rsidRDefault="00567E7C">
          <w:pPr>
            <w:pStyle w:val="TDC2"/>
            <w:tabs>
              <w:tab w:val="left" w:pos="880"/>
              <w:tab w:val="right" w:leader="dot" w:pos="8828"/>
            </w:tabs>
            <w:rPr>
              <w:rFonts w:eastAsiaTheme="minorEastAsia"/>
              <w:noProof/>
              <w:lang w:val="es-CO" w:eastAsia="es-CO"/>
            </w:rPr>
          </w:pPr>
          <w:hyperlink w:anchor="_Toc41378120" w:history="1">
            <w:r w:rsidR="00F76B16" w:rsidRPr="00040916">
              <w:rPr>
                <w:rStyle w:val="Hipervnculo"/>
                <w:noProof/>
              </w:rPr>
              <w:t>5.1.</w:t>
            </w:r>
            <w:r w:rsidR="00F76B16">
              <w:rPr>
                <w:rFonts w:eastAsiaTheme="minorEastAsia"/>
                <w:noProof/>
                <w:lang w:val="es-CO" w:eastAsia="es-CO"/>
              </w:rPr>
              <w:tab/>
            </w:r>
            <w:r w:rsidR="00F76B16" w:rsidRPr="00040916">
              <w:rPr>
                <w:rStyle w:val="Hipervnculo"/>
                <w:noProof/>
              </w:rPr>
              <w:t>Evaluación por proceso</w:t>
            </w:r>
            <w:r w:rsidR="00F76B16">
              <w:rPr>
                <w:noProof/>
                <w:webHidden/>
              </w:rPr>
              <w:tab/>
            </w:r>
            <w:r w:rsidR="00F76B16">
              <w:rPr>
                <w:noProof/>
                <w:webHidden/>
              </w:rPr>
              <w:fldChar w:fldCharType="begin"/>
            </w:r>
            <w:r w:rsidR="00F76B16">
              <w:rPr>
                <w:noProof/>
                <w:webHidden/>
              </w:rPr>
              <w:instrText xml:space="preserve"> PAGEREF _Toc41378120 \h </w:instrText>
            </w:r>
            <w:r w:rsidR="00F76B16">
              <w:rPr>
                <w:noProof/>
                <w:webHidden/>
              </w:rPr>
            </w:r>
            <w:r w:rsidR="00F76B16">
              <w:rPr>
                <w:noProof/>
                <w:webHidden/>
              </w:rPr>
              <w:fldChar w:fldCharType="separate"/>
            </w:r>
            <w:r w:rsidR="00F76B16">
              <w:rPr>
                <w:noProof/>
                <w:webHidden/>
              </w:rPr>
              <w:t>7</w:t>
            </w:r>
            <w:r w:rsidR="00F76B16">
              <w:rPr>
                <w:noProof/>
                <w:webHidden/>
              </w:rPr>
              <w:fldChar w:fldCharType="end"/>
            </w:r>
          </w:hyperlink>
        </w:p>
        <w:p w14:paraId="33EE56C7" w14:textId="77777777" w:rsidR="00F76B16" w:rsidRDefault="00567E7C">
          <w:pPr>
            <w:pStyle w:val="TDC2"/>
            <w:tabs>
              <w:tab w:val="left" w:pos="1100"/>
              <w:tab w:val="right" w:leader="dot" w:pos="8828"/>
            </w:tabs>
            <w:rPr>
              <w:rFonts w:eastAsiaTheme="minorEastAsia"/>
              <w:noProof/>
              <w:lang w:val="es-CO" w:eastAsia="es-CO"/>
            </w:rPr>
          </w:pPr>
          <w:hyperlink w:anchor="_Toc41378121" w:history="1">
            <w:r w:rsidR="00F76B16" w:rsidRPr="00040916">
              <w:rPr>
                <w:rStyle w:val="Hipervnculo"/>
                <w:noProof/>
              </w:rPr>
              <w:t>5.1.1.</w:t>
            </w:r>
            <w:r w:rsidR="00F76B16">
              <w:rPr>
                <w:rFonts w:eastAsiaTheme="minorEastAsia"/>
                <w:noProof/>
                <w:lang w:val="es-CO" w:eastAsia="es-CO"/>
              </w:rPr>
              <w:tab/>
            </w:r>
            <w:r w:rsidR="00F76B16" w:rsidRPr="00040916">
              <w:rPr>
                <w:rStyle w:val="Hipervnculo"/>
                <w:noProof/>
              </w:rPr>
              <w:t>Proceso Estratégico</w:t>
            </w:r>
            <w:r w:rsidR="00F76B16">
              <w:rPr>
                <w:noProof/>
                <w:webHidden/>
              </w:rPr>
              <w:tab/>
            </w:r>
            <w:r w:rsidR="00F76B16">
              <w:rPr>
                <w:noProof/>
                <w:webHidden/>
              </w:rPr>
              <w:fldChar w:fldCharType="begin"/>
            </w:r>
            <w:r w:rsidR="00F76B16">
              <w:rPr>
                <w:noProof/>
                <w:webHidden/>
              </w:rPr>
              <w:instrText xml:space="preserve"> PAGEREF _Toc41378121 \h </w:instrText>
            </w:r>
            <w:r w:rsidR="00F76B16">
              <w:rPr>
                <w:noProof/>
                <w:webHidden/>
              </w:rPr>
            </w:r>
            <w:r w:rsidR="00F76B16">
              <w:rPr>
                <w:noProof/>
                <w:webHidden/>
              </w:rPr>
              <w:fldChar w:fldCharType="separate"/>
            </w:r>
            <w:r w:rsidR="00F76B16">
              <w:rPr>
                <w:noProof/>
                <w:webHidden/>
              </w:rPr>
              <w:t>7</w:t>
            </w:r>
            <w:r w:rsidR="00F76B16">
              <w:rPr>
                <w:noProof/>
                <w:webHidden/>
              </w:rPr>
              <w:fldChar w:fldCharType="end"/>
            </w:r>
          </w:hyperlink>
        </w:p>
        <w:p w14:paraId="5983D0E1" w14:textId="77777777" w:rsidR="00F76B16" w:rsidRDefault="00567E7C">
          <w:pPr>
            <w:pStyle w:val="TDC2"/>
            <w:tabs>
              <w:tab w:val="left" w:pos="1100"/>
              <w:tab w:val="right" w:leader="dot" w:pos="8828"/>
            </w:tabs>
            <w:rPr>
              <w:rFonts w:eastAsiaTheme="minorEastAsia"/>
              <w:noProof/>
              <w:lang w:val="es-CO" w:eastAsia="es-CO"/>
            </w:rPr>
          </w:pPr>
          <w:hyperlink w:anchor="_Toc41378122" w:history="1">
            <w:r w:rsidR="00F76B16" w:rsidRPr="00040916">
              <w:rPr>
                <w:rStyle w:val="Hipervnculo"/>
                <w:noProof/>
              </w:rPr>
              <w:t>5.1.2.</w:t>
            </w:r>
            <w:r w:rsidR="00F76B16">
              <w:rPr>
                <w:rFonts w:eastAsiaTheme="minorEastAsia"/>
                <w:noProof/>
                <w:lang w:val="es-CO" w:eastAsia="es-CO"/>
              </w:rPr>
              <w:tab/>
            </w:r>
            <w:r w:rsidR="00F76B16" w:rsidRPr="00040916">
              <w:rPr>
                <w:rStyle w:val="Hipervnculo"/>
                <w:noProof/>
              </w:rPr>
              <w:t>Proceso Misional</w:t>
            </w:r>
            <w:r w:rsidR="00F76B16">
              <w:rPr>
                <w:noProof/>
                <w:webHidden/>
              </w:rPr>
              <w:tab/>
            </w:r>
            <w:r w:rsidR="00F76B16">
              <w:rPr>
                <w:noProof/>
                <w:webHidden/>
              </w:rPr>
              <w:fldChar w:fldCharType="begin"/>
            </w:r>
            <w:r w:rsidR="00F76B16">
              <w:rPr>
                <w:noProof/>
                <w:webHidden/>
              </w:rPr>
              <w:instrText xml:space="preserve"> PAGEREF _Toc41378122 \h </w:instrText>
            </w:r>
            <w:r w:rsidR="00F76B16">
              <w:rPr>
                <w:noProof/>
                <w:webHidden/>
              </w:rPr>
            </w:r>
            <w:r w:rsidR="00F76B16">
              <w:rPr>
                <w:noProof/>
                <w:webHidden/>
              </w:rPr>
              <w:fldChar w:fldCharType="separate"/>
            </w:r>
            <w:r w:rsidR="00F76B16">
              <w:rPr>
                <w:noProof/>
                <w:webHidden/>
              </w:rPr>
              <w:t>8</w:t>
            </w:r>
            <w:r w:rsidR="00F76B16">
              <w:rPr>
                <w:noProof/>
                <w:webHidden/>
              </w:rPr>
              <w:fldChar w:fldCharType="end"/>
            </w:r>
          </w:hyperlink>
        </w:p>
        <w:p w14:paraId="30F1379C" w14:textId="77777777" w:rsidR="00F76B16" w:rsidRDefault="00567E7C">
          <w:pPr>
            <w:pStyle w:val="TDC2"/>
            <w:tabs>
              <w:tab w:val="left" w:pos="1100"/>
              <w:tab w:val="right" w:leader="dot" w:pos="8828"/>
            </w:tabs>
            <w:rPr>
              <w:rFonts w:eastAsiaTheme="minorEastAsia"/>
              <w:noProof/>
              <w:lang w:val="es-CO" w:eastAsia="es-CO"/>
            </w:rPr>
          </w:pPr>
          <w:hyperlink w:anchor="_Toc41378123" w:history="1">
            <w:r w:rsidR="00F76B16" w:rsidRPr="00040916">
              <w:rPr>
                <w:rStyle w:val="Hipervnculo"/>
                <w:noProof/>
              </w:rPr>
              <w:t>5.1.3.</w:t>
            </w:r>
            <w:r w:rsidR="00F76B16">
              <w:rPr>
                <w:rFonts w:eastAsiaTheme="minorEastAsia"/>
                <w:noProof/>
                <w:lang w:val="es-CO" w:eastAsia="es-CO"/>
              </w:rPr>
              <w:tab/>
            </w:r>
            <w:r w:rsidR="00F76B16" w:rsidRPr="00040916">
              <w:rPr>
                <w:rStyle w:val="Hipervnculo"/>
                <w:noProof/>
              </w:rPr>
              <w:t>Proceso Apoyo</w:t>
            </w:r>
            <w:r w:rsidR="00F76B16">
              <w:rPr>
                <w:noProof/>
                <w:webHidden/>
              </w:rPr>
              <w:tab/>
            </w:r>
            <w:r w:rsidR="00F76B16">
              <w:rPr>
                <w:noProof/>
                <w:webHidden/>
              </w:rPr>
              <w:fldChar w:fldCharType="begin"/>
            </w:r>
            <w:r w:rsidR="00F76B16">
              <w:rPr>
                <w:noProof/>
                <w:webHidden/>
              </w:rPr>
              <w:instrText xml:space="preserve"> PAGEREF _Toc41378123 \h </w:instrText>
            </w:r>
            <w:r w:rsidR="00F76B16">
              <w:rPr>
                <w:noProof/>
                <w:webHidden/>
              </w:rPr>
            </w:r>
            <w:r w:rsidR="00F76B16">
              <w:rPr>
                <w:noProof/>
                <w:webHidden/>
              </w:rPr>
              <w:fldChar w:fldCharType="separate"/>
            </w:r>
            <w:r w:rsidR="00F76B16">
              <w:rPr>
                <w:noProof/>
                <w:webHidden/>
              </w:rPr>
              <w:t>8</w:t>
            </w:r>
            <w:r w:rsidR="00F76B16">
              <w:rPr>
                <w:noProof/>
                <w:webHidden/>
              </w:rPr>
              <w:fldChar w:fldCharType="end"/>
            </w:r>
          </w:hyperlink>
        </w:p>
        <w:p w14:paraId="30EF166B" w14:textId="77777777" w:rsidR="00F76B16" w:rsidRDefault="00567E7C">
          <w:pPr>
            <w:pStyle w:val="TDC2"/>
            <w:tabs>
              <w:tab w:val="left" w:pos="1100"/>
              <w:tab w:val="right" w:leader="dot" w:pos="8828"/>
            </w:tabs>
            <w:rPr>
              <w:rFonts w:eastAsiaTheme="minorEastAsia"/>
              <w:noProof/>
              <w:lang w:val="es-CO" w:eastAsia="es-CO"/>
            </w:rPr>
          </w:pPr>
          <w:hyperlink w:anchor="_Toc41378124" w:history="1">
            <w:r w:rsidR="00F76B16" w:rsidRPr="00040916">
              <w:rPr>
                <w:rStyle w:val="Hipervnculo"/>
                <w:noProof/>
              </w:rPr>
              <w:t>5.1.4.</w:t>
            </w:r>
            <w:r w:rsidR="00F76B16">
              <w:rPr>
                <w:rFonts w:eastAsiaTheme="minorEastAsia"/>
                <w:noProof/>
                <w:lang w:val="es-CO" w:eastAsia="es-CO"/>
              </w:rPr>
              <w:tab/>
            </w:r>
            <w:r w:rsidR="00F76B16" w:rsidRPr="00040916">
              <w:rPr>
                <w:rStyle w:val="Hipervnculo"/>
                <w:noProof/>
              </w:rPr>
              <w:t>Proceso Control y Evaluación</w:t>
            </w:r>
            <w:r w:rsidR="00F76B16">
              <w:rPr>
                <w:noProof/>
                <w:webHidden/>
              </w:rPr>
              <w:tab/>
            </w:r>
            <w:r w:rsidR="00F76B16">
              <w:rPr>
                <w:noProof/>
                <w:webHidden/>
              </w:rPr>
              <w:fldChar w:fldCharType="begin"/>
            </w:r>
            <w:r w:rsidR="00F76B16">
              <w:rPr>
                <w:noProof/>
                <w:webHidden/>
              </w:rPr>
              <w:instrText xml:space="preserve"> PAGEREF _Toc41378124 \h </w:instrText>
            </w:r>
            <w:r w:rsidR="00F76B16">
              <w:rPr>
                <w:noProof/>
                <w:webHidden/>
              </w:rPr>
            </w:r>
            <w:r w:rsidR="00F76B16">
              <w:rPr>
                <w:noProof/>
                <w:webHidden/>
              </w:rPr>
              <w:fldChar w:fldCharType="separate"/>
            </w:r>
            <w:r w:rsidR="00F76B16">
              <w:rPr>
                <w:noProof/>
                <w:webHidden/>
              </w:rPr>
              <w:t>8</w:t>
            </w:r>
            <w:r w:rsidR="00F76B16">
              <w:rPr>
                <w:noProof/>
                <w:webHidden/>
              </w:rPr>
              <w:fldChar w:fldCharType="end"/>
            </w:r>
          </w:hyperlink>
        </w:p>
        <w:p w14:paraId="5F3BC9EE" w14:textId="77777777" w:rsidR="00F76B16" w:rsidRDefault="00567E7C">
          <w:pPr>
            <w:pStyle w:val="TDC1"/>
            <w:tabs>
              <w:tab w:val="left" w:pos="440"/>
              <w:tab w:val="right" w:leader="dot" w:pos="8828"/>
            </w:tabs>
            <w:rPr>
              <w:rFonts w:eastAsiaTheme="minorEastAsia"/>
              <w:noProof/>
              <w:lang w:val="es-CO" w:eastAsia="es-CO"/>
            </w:rPr>
          </w:pPr>
          <w:hyperlink w:anchor="_Toc41378125" w:history="1">
            <w:r w:rsidR="00F76B16" w:rsidRPr="00040916">
              <w:rPr>
                <w:rStyle w:val="Hipervnculo"/>
                <w:noProof/>
              </w:rPr>
              <w:t>6.</w:t>
            </w:r>
            <w:r w:rsidR="00F76B16">
              <w:rPr>
                <w:rFonts w:eastAsiaTheme="minorEastAsia"/>
                <w:noProof/>
                <w:lang w:val="es-CO" w:eastAsia="es-CO"/>
              </w:rPr>
              <w:tab/>
            </w:r>
            <w:r w:rsidR="00F76B16" w:rsidRPr="00040916">
              <w:rPr>
                <w:rStyle w:val="Hipervnculo"/>
                <w:noProof/>
              </w:rPr>
              <w:t>Evaluación por Objetivo de Calidad</w:t>
            </w:r>
            <w:r w:rsidR="00F76B16">
              <w:rPr>
                <w:noProof/>
                <w:webHidden/>
              </w:rPr>
              <w:tab/>
            </w:r>
            <w:r w:rsidR="00F76B16">
              <w:rPr>
                <w:noProof/>
                <w:webHidden/>
              </w:rPr>
              <w:fldChar w:fldCharType="begin"/>
            </w:r>
            <w:r w:rsidR="00F76B16">
              <w:rPr>
                <w:noProof/>
                <w:webHidden/>
              </w:rPr>
              <w:instrText xml:space="preserve"> PAGEREF _Toc41378125 \h </w:instrText>
            </w:r>
            <w:r w:rsidR="00F76B16">
              <w:rPr>
                <w:noProof/>
                <w:webHidden/>
              </w:rPr>
            </w:r>
            <w:r w:rsidR="00F76B16">
              <w:rPr>
                <w:noProof/>
                <w:webHidden/>
              </w:rPr>
              <w:fldChar w:fldCharType="separate"/>
            </w:r>
            <w:r w:rsidR="00F76B16">
              <w:rPr>
                <w:noProof/>
                <w:webHidden/>
              </w:rPr>
              <w:t>9</w:t>
            </w:r>
            <w:r w:rsidR="00F76B16">
              <w:rPr>
                <w:noProof/>
                <w:webHidden/>
              </w:rPr>
              <w:fldChar w:fldCharType="end"/>
            </w:r>
          </w:hyperlink>
        </w:p>
        <w:p w14:paraId="13BE9F1B" w14:textId="77777777" w:rsidR="00F76B16" w:rsidRDefault="00567E7C">
          <w:pPr>
            <w:pStyle w:val="TDC1"/>
            <w:tabs>
              <w:tab w:val="left" w:pos="440"/>
              <w:tab w:val="right" w:leader="dot" w:pos="8828"/>
            </w:tabs>
            <w:rPr>
              <w:rFonts w:eastAsiaTheme="minorEastAsia"/>
              <w:noProof/>
              <w:lang w:val="es-CO" w:eastAsia="es-CO"/>
            </w:rPr>
          </w:pPr>
          <w:hyperlink w:anchor="_Toc41378126" w:history="1">
            <w:r w:rsidR="00F76B16" w:rsidRPr="00040916">
              <w:rPr>
                <w:rStyle w:val="Hipervnculo"/>
                <w:noProof/>
              </w:rPr>
              <w:t>7.</w:t>
            </w:r>
            <w:r w:rsidR="00F76B16">
              <w:rPr>
                <w:rFonts w:eastAsiaTheme="minorEastAsia"/>
                <w:noProof/>
                <w:lang w:val="es-CO" w:eastAsia="es-CO"/>
              </w:rPr>
              <w:tab/>
            </w:r>
            <w:r w:rsidR="00F76B16" w:rsidRPr="00040916">
              <w:rPr>
                <w:rStyle w:val="Hipervnculo"/>
                <w:noProof/>
              </w:rPr>
              <w:t>Evaluación Proyectos de Inversión</w:t>
            </w:r>
            <w:r w:rsidR="00F76B16">
              <w:rPr>
                <w:noProof/>
                <w:webHidden/>
              </w:rPr>
              <w:tab/>
            </w:r>
            <w:r w:rsidR="00F76B16">
              <w:rPr>
                <w:noProof/>
                <w:webHidden/>
              </w:rPr>
              <w:fldChar w:fldCharType="begin"/>
            </w:r>
            <w:r w:rsidR="00F76B16">
              <w:rPr>
                <w:noProof/>
                <w:webHidden/>
              </w:rPr>
              <w:instrText xml:space="preserve"> PAGEREF _Toc41378126 \h </w:instrText>
            </w:r>
            <w:r w:rsidR="00F76B16">
              <w:rPr>
                <w:noProof/>
                <w:webHidden/>
              </w:rPr>
            </w:r>
            <w:r w:rsidR="00F76B16">
              <w:rPr>
                <w:noProof/>
                <w:webHidden/>
              </w:rPr>
              <w:fldChar w:fldCharType="separate"/>
            </w:r>
            <w:r w:rsidR="00F76B16">
              <w:rPr>
                <w:noProof/>
                <w:webHidden/>
              </w:rPr>
              <w:t>12</w:t>
            </w:r>
            <w:r w:rsidR="00F76B16">
              <w:rPr>
                <w:noProof/>
                <w:webHidden/>
              </w:rPr>
              <w:fldChar w:fldCharType="end"/>
            </w:r>
          </w:hyperlink>
        </w:p>
        <w:p w14:paraId="12EA9B04" w14:textId="77777777" w:rsidR="00F76B16" w:rsidRDefault="00567E7C">
          <w:pPr>
            <w:pStyle w:val="TDC1"/>
            <w:tabs>
              <w:tab w:val="left" w:pos="440"/>
              <w:tab w:val="right" w:leader="dot" w:pos="8828"/>
            </w:tabs>
            <w:rPr>
              <w:rFonts w:eastAsiaTheme="minorEastAsia"/>
              <w:noProof/>
              <w:lang w:val="es-CO" w:eastAsia="es-CO"/>
            </w:rPr>
          </w:pPr>
          <w:hyperlink w:anchor="_Toc41378127" w:history="1">
            <w:r w:rsidR="00F76B16" w:rsidRPr="00040916">
              <w:rPr>
                <w:rStyle w:val="Hipervnculo"/>
                <w:noProof/>
              </w:rPr>
              <w:t>8.</w:t>
            </w:r>
            <w:r w:rsidR="00F76B16">
              <w:rPr>
                <w:rFonts w:eastAsiaTheme="minorEastAsia"/>
                <w:noProof/>
                <w:lang w:val="es-CO" w:eastAsia="es-CO"/>
              </w:rPr>
              <w:tab/>
            </w:r>
            <w:r w:rsidR="00F76B16" w:rsidRPr="00040916">
              <w:rPr>
                <w:rStyle w:val="Hipervnculo"/>
                <w:noProof/>
              </w:rPr>
              <w:t>Evaluación por Dependencia</w:t>
            </w:r>
            <w:r w:rsidR="00F76B16">
              <w:rPr>
                <w:noProof/>
                <w:webHidden/>
              </w:rPr>
              <w:tab/>
            </w:r>
            <w:r w:rsidR="00F76B16">
              <w:rPr>
                <w:noProof/>
                <w:webHidden/>
              </w:rPr>
              <w:fldChar w:fldCharType="begin"/>
            </w:r>
            <w:r w:rsidR="00F76B16">
              <w:rPr>
                <w:noProof/>
                <w:webHidden/>
              </w:rPr>
              <w:instrText xml:space="preserve"> PAGEREF _Toc41378127 \h </w:instrText>
            </w:r>
            <w:r w:rsidR="00F76B16">
              <w:rPr>
                <w:noProof/>
                <w:webHidden/>
              </w:rPr>
            </w:r>
            <w:r w:rsidR="00F76B16">
              <w:rPr>
                <w:noProof/>
                <w:webHidden/>
              </w:rPr>
              <w:fldChar w:fldCharType="separate"/>
            </w:r>
            <w:r w:rsidR="00F76B16">
              <w:rPr>
                <w:noProof/>
                <w:webHidden/>
              </w:rPr>
              <w:t>13</w:t>
            </w:r>
            <w:r w:rsidR="00F76B16">
              <w:rPr>
                <w:noProof/>
                <w:webHidden/>
              </w:rPr>
              <w:fldChar w:fldCharType="end"/>
            </w:r>
          </w:hyperlink>
        </w:p>
        <w:p w14:paraId="4D499183" w14:textId="77777777" w:rsidR="00F76B16" w:rsidRDefault="00567E7C">
          <w:pPr>
            <w:pStyle w:val="TDC1"/>
            <w:tabs>
              <w:tab w:val="left" w:pos="440"/>
              <w:tab w:val="right" w:leader="dot" w:pos="8828"/>
            </w:tabs>
            <w:rPr>
              <w:rFonts w:eastAsiaTheme="minorEastAsia"/>
              <w:noProof/>
              <w:lang w:val="es-CO" w:eastAsia="es-CO"/>
            </w:rPr>
          </w:pPr>
          <w:hyperlink w:anchor="_Toc41378128" w:history="1">
            <w:r w:rsidR="00F76B16" w:rsidRPr="00040916">
              <w:rPr>
                <w:rStyle w:val="Hipervnculo"/>
                <w:noProof/>
              </w:rPr>
              <w:t>9.</w:t>
            </w:r>
            <w:r w:rsidR="00F76B16">
              <w:rPr>
                <w:rFonts w:eastAsiaTheme="minorEastAsia"/>
                <w:noProof/>
                <w:lang w:val="es-CO" w:eastAsia="es-CO"/>
              </w:rPr>
              <w:tab/>
            </w:r>
            <w:r w:rsidR="00F76B16" w:rsidRPr="00040916">
              <w:rPr>
                <w:rStyle w:val="Hipervnculo"/>
                <w:noProof/>
              </w:rPr>
              <w:t>Gestión General de la Entidad</w:t>
            </w:r>
            <w:r w:rsidR="00F76B16">
              <w:rPr>
                <w:noProof/>
                <w:webHidden/>
              </w:rPr>
              <w:tab/>
            </w:r>
            <w:r w:rsidR="00F76B16">
              <w:rPr>
                <w:noProof/>
                <w:webHidden/>
              </w:rPr>
              <w:fldChar w:fldCharType="begin"/>
            </w:r>
            <w:r w:rsidR="00F76B16">
              <w:rPr>
                <w:noProof/>
                <w:webHidden/>
              </w:rPr>
              <w:instrText xml:space="preserve"> PAGEREF _Toc41378128 \h </w:instrText>
            </w:r>
            <w:r w:rsidR="00F76B16">
              <w:rPr>
                <w:noProof/>
                <w:webHidden/>
              </w:rPr>
            </w:r>
            <w:r w:rsidR="00F76B16">
              <w:rPr>
                <w:noProof/>
                <w:webHidden/>
              </w:rPr>
              <w:fldChar w:fldCharType="separate"/>
            </w:r>
            <w:r w:rsidR="00F76B16">
              <w:rPr>
                <w:noProof/>
                <w:webHidden/>
              </w:rPr>
              <w:t>14</w:t>
            </w:r>
            <w:r w:rsidR="00F76B16">
              <w:rPr>
                <w:noProof/>
                <w:webHidden/>
              </w:rPr>
              <w:fldChar w:fldCharType="end"/>
            </w:r>
          </w:hyperlink>
        </w:p>
        <w:p w14:paraId="792C8D66" w14:textId="77777777" w:rsidR="00135C06" w:rsidRDefault="00135C06">
          <w:r>
            <w:rPr>
              <w:b/>
              <w:bCs/>
              <w:lang w:val="es-ES"/>
            </w:rPr>
            <w:fldChar w:fldCharType="end"/>
          </w:r>
        </w:p>
      </w:sdtContent>
    </w:sdt>
    <w:p w14:paraId="3D3975E5" w14:textId="77777777" w:rsidR="00135C06" w:rsidRDefault="00135C06" w:rsidP="00C6711A">
      <w:pPr>
        <w:pStyle w:val="Ttulo1"/>
        <w:jc w:val="center"/>
      </w:pPr>
    </w:p>
    <w:p w14:paraId="606CA523" w14:textId="77777777" w:rsidR="00135C06" w:rsidRDefault="00135C06" w:rsidP="00C6711A">
      <w:pPr>
        <w:pStyle w:val="Ttulo1"/>
        <w:jc w:val="center"/>
      </w:pPr>
    </w:p>
    <w:p w14:paraId="43080C7A" w14:textId="77777777" w:rsidR="00135C06" w:rsidRDefault="00135C06" w:rsidP="00135C06">
      <w:pPr>
        <w:rPr>
          <w:lang w:val="es-ES_tradnl" w:eastAsia="es-ES"/>
        </w:rPr>
      </w:pPr>
    </w:p>
    <w:p w14:paraId="26D37937" w14:textId="77777777" w:rsidR="00135C06" w:rsidRDefault="00135C06" w:rsidP="00135C06">
      <w:pPr>
        <w:rPr>
          <w:lang w:val="es-ES_tradnl" w:eastAsia="es-ES"/>
        </w:rPr>
      </w:pPr>
    </w:p>
    <w:p w14:paraId="19DE051B" w14:textId="77777777" w:rsidR="00135C06" w:rsidRDefault="00135C06" w:rsidP="00135C06">
      <w:pPr>
        <w:rPr>
          <w:lang w:val="es-ES_tradnl" w:eastAsia="es-ES"/>
        </w:rPr>
      </w:pPr>
    </w:p>
    <w:p w14:paraId="75769347" w14:textId="77777777" w:rsidR="00135C06" w:rsidRDefault="00135C06" w:rsidP="00135C06">
      <w:pPr>
        <w:rPr>
          <w:lang w:val="es-ES_tradnl" w:eastAsia="es-ES"/>
        </w:rPr>
      </w:pPr>
    </w:p>
    <w:p w14:paraId="60FD0D04" w14:textId="77777777" w:rsidR="00135C06" w:rsidRDefault="00135C06" w:rsidP="00135C06">
      <w:pPr>
        <w:rPr>
          <w:lang w:val="es-ES_tradnl" w:eastAsia="es-ES"/>
        </w:rPr>
      </w:pPr>
    </w:p>
    <w:p w14:paraId="66E946F7" w14:textId="77777777" w:rsidR="00135C06" w:rsidRPr="00135C06" w:rsidRDefault="00135C06" w:rsidP="00135C06">
      <w:pPr>
        <w:rPr>
          <w:lang w:val="es-ES_tradnl" w:eastAsia="es-ES"/>
        </w:rPr>
      </w:pPr>
    </w:p>
    <w:p w14:paraId="3BC4A509" w14:textId="77777777" w:rsidR="00F8148B" w:rsidRDefault="00F8148B" w:rsidP="00C6711A">
      <w:pPr>
        <w:pStyle w:val="Ttulo1"/>
        <w:jc w:val="center"/>
      </w:pPr>
    </w:p>
    <w:p w14:paraId="257BF3D7" w14:textId="4671D64B" w:rsidR="00BB1EA5" w:rsidRDefault="00BB1EA5" w:rsidP="00CB2230">
      <w:pPr>
        <w:pStyle w:val="Ttulo1"/>
        <w:numPr>
          <w:ilvl w:val="0"/>
          <w:numId w:val="7"/>
        </w:numPr>
        <w:jc w:val="center"/>
      </w:pPr>
      <w:bookmarkStart w:id="1" w:name="_Toc41378111"/>
      <w:r w:rsidRPr="000C1EC5">
        <w:t>Presentación</w:t>
      </w:r>
      <w:bookmarkEnd w:id="1"/>
    </w:p>
    <w:p w14:paraId="1F463941" w14:textId="77777777" w:rsidR="00C6711A" w:rsidRPr="00C6711A" w:rsidRDefault="00C6711A" w:rsidP="00C6711A">
      <w:pPr>
        <w:rPr>
          <w:lang w:val="es-ES_tradnl" w:eastAsia="es-ES"/>
        </w:rPr>
      </w:pPr>
    </w:p>
    <w:p w14:paraId="640F244A" w14:textId="24F1C4F5" w:rsidR="00BB1EA5" w:rsidRPr="000C1EC5" w:rsidRDefault="005F09D5" w:rsidP="00BB1EA5">
      <w:pPr>
        <w:jc w:val="both"/>
        <w:rPr>
          <w:rFonts w:ascii="Arial" w:hAnsi="Arial" w:cs="Arial"/>
          <w:sz w:val="20"/>
          <w:szCs w:val="20"/>
          <w:lang w:val="es-ES"/>
        </w:rPr>
      </w:pPr>
      <w:r>
        <w:rPr>
          <w:rFonts w:ascii="Arial" w:hAnsi="Arial" w:cs="Arial"/>
          <w:sz w:val="20"/>
          <w:szCs w:val="20"/>
          <w:lang w:val="es-ES"/>
        </w:rPr>
        <w:t xml:space="preserve">Como objetivo de los indicadores de gestión se establece la visualización </w:t>
      </w:r>
      <w:r w:rsidR="00BB1EA5" w:rsidRPr="000C1EC5">
        <w:rPr>
          <w:rFonts w:ascii="Arial" w:hAnsi="Arial" w:cs="Arial"/>
          <w:sz w:val="20"/>
          <w:szCs w:val="20"/>
          <w:lang w:val="es-ES"/>
        </w:rPr>
        <w:t xml:space="preserve"> </w:t>
      </w:r>
      <w:r>
        <w:rPr>
          <w:rFonts w:ascii="Arial" w:hAnsi="Arial" w:cs="Arial"/>
          <w:sz w:val="20"/>
          <w:szCs w:val="20"/>
          <w:lang w:val="es-ES"/>
        </w:rPr>
        <w:t>d</w:t>
      </w:r>
      <w:r w:rsidR="00BB1EA5" w:rsidRPr="000C1EC5">
        <w:rPr>
          <w:rFonts w:ascii="Arial" w:hAnsi="Arial" w:cs="Arial"/>
          <w:sz w:val="20"/>
          <w:szCs w:val="20"/>
          <w:lang w:val="es-ES"/>
        </w:rPr>
        <w:t>el cumplimiento de los proyectos o metas propuestas con el fin de tener las bases necesarias para las tomas de decisiones y permiten tener un control adecuado sobre una situación dada, de ahí su importancia al hacer posible el predecir y actuar con base en las tendencias positivas o negativas observadas en su desempeño global.</w:t>
      </w:r>
    </w:p>
    <w:p w14:paraId="33F01522"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El desempeño de la Secretaría Distrital de Ambiente se mide en términos de resultados expresados en índices de gestión, medida gerencial que permite evaluar la gestión de la entidad frente a sus metas, objetivos y responsabilidades.</w:t>
      </w:r>
    </w:p>
    <w:p w14:paraId="1C67828F"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El informe de indicadores de gestión en la Secretaría Distrital de Ambiente permite orientar y reorientar la gestión institucional, de cara al Plan de Desarrollo vigente, las metas propuestas en éste y las necesidades ambientales de la ciudad.</w:t>
      </w:r>
    </w:p>
    <w:p w14:paraId="4A086D2F" w14:textId="77777777" w:rsidR="00BB1EA5" w:rsidRPr="000C1EC5" w:rsidRDefault="00BB1EA5" w:rsidP="00BB1EA5">
      <w:pPr>
        <w:jc w:val="both"/>
        <w:rPr>
          <w:rFonts w:ascii="Arial" w:hAnsi="Arial" w:cs="Arial"/>
          <w:sz w:val="20"/>
          <w:szCs w:val="20"/>
          <w:lang w:val="es-ES"/>
        </w:rPr>
      </w:pPr>
    </w:p>
    <w:p w14:paraId="4051779F" w14:textId="20E43B3C" w:rsidR="00BB1EA5" w:rsidRPr="000C1EC5" w:rsidRDefault="00BB1EA5" w:rsidP="00CB2230">
      <w:pPr>
        <w:pStyle w:val="Ttulo1"/>
        <w:numPr>
          <w:ilvl w:val="0"/>
          <w:numId w:val="7"/>
        </w:numPr>
        <w:jc w:val="center"/>
      </w:pPr>
      <w:bookmarkStart w:id="2" w:name="_Toc41378112"/>
      <w:r w:rsidRPr="000C1EC5">
        <w:t>Generalidades</w:t>
      </w:r>
      <w:bookmarkEnd w:id="2"/>
    </w:p>
    <w:p w14:paraId="1066D68C" w14:textId="77777777" w:rsidR="000616FC" w:rsidRDefault="000616FC" w:rsidP="00BB1EA5">
      <w:pPr>
        <w:jc w:val="both"/>
        <w:rPr>
          <w:rFonts w:ascii="Arial" w:hAnsi="Arial" w:cs="Arial"/>
          <w:sz w:val="20"/>
          <w:szCs w:val="20"/>
          <w:lang w:val="es-ES"/>
        </w:rPr>
      </w:pPr>
    </w:p>
    <w:p w14:paraId="54416CC9"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A través del presente informe, se dan a conocer los resultados alcanzados en los indicadores que constituyen la gestión institucional de la SDA.</w:t>
      </w:r>
    </w:p>
    <w:p w14:paraId="6CF73023"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En primer lugar, se presenta la medición y evaluación cuantitativa de ciento treinta y cinco (135) indicadores establecidos para la vigencia 2020, conforme la programación realizada por las dependencias de la Secretaría, en el marco del Plan de Desarrollo vigente.</w:t>
      </w:r>
    </w:p>
    <w:p w14:paraId="61FE95BD"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 xml:space="preserve">Así mismo, se presentan los resultados obtenidos de los indicadores de gestión asociados al cumplimiento de metas Plan de Desarrollo y de los que responden a la Plataforma Estratégica de la Entidad.  </w:t>
      </w:r>
    </w:p>
    <w:p w14:paraId="7EC36A91" w14:textId="77777777" w:rsidR="00BB1EA5" w:rsidRPr="000C1EC5" w:rsidRDefault="00BB1EA5" w:rsidP="00BB1EA5">
      <w:pPr>
        <w:jc w:val="both"/>
        <w:rPr>
          <w:rFonts w:ascii="Arial" w:hAnsi="Arial" w:cs="Arial"/>
          <w:sz w:val="20"/>
          <w:szCs w:val="20"/>
        </w:rPr>
      </w:pPr>
      <w:r w:rsidRPr="000C1EC5">
        <w:rPr>
          <w:rFonts w:ascii="Arial" w:hAnsi="Arial" w:cs="Arial"/>
          <w:sz w:val="20"/>
          <w:szCs w:val="20"/>
          <w:lang w:val="es-ES"/>
        </w:rPr>
        <w:t>Para la evaluación y análisis, los indicadores se agrupan por objetivo de calidad, por proceso, por proyecto y por dependencia.</w:t>
      </w:r>
    </w:p>
    <w:p w14:paraId="29DC46FF" w14:textId="77777777" w:rsidR="00BB1EA5" w:rsidRPr="000C1EC5" w:rsidRDefault="00BB1EA5" w:rsidP="00BB1EA5">
      <w:pPr>
        <w:jc w:val="both"/>
        <w:rPr>
          <w:rFonts w:ascii="Arial" w:eastAsiaTheme="minorEastAsia" w:hAnsi="Arial" w:cs="Arial"/>
          <w:i/>
          <w:color w:val="44546A" w:themeColor="text2"/>
          <w:sz w:val="20"/>
          <w:szCs w:val="20"/>
          <w:lang w:val="es-ES_tradnl" w:eastAsia="es-ES"/>
        </w:rPr>
      </w:pPr>
    </w:p>
    <w:p w14:paraId="029C641B" w14:textId="041C56CB" w:rsidR="00BB1EA5" w:rsidRDefault="00BB1EA5" w:rsidP="00CB2230">
      <w:pPr>
        <w:pStyle w:val="Ttulo1"/>
        <w:numPr>
          <w:ilvl w:val="0"/>
          <w:numId w:val="7"/>
        </w:numPr>
        <w:jc w:val="center"/>
        <w:rPr>
          <w:rFonts w:eastAsiaTheme="minorEastAsia"/>
        </w:rPr>
      </w:pPr>
      <w:bookmarkStart w:id="3" w:name="_Toc41378113"/>
      <w:r w:rsidRPr="000C1EC5">
        <w:rPr>
          <w:rFonts w:eastAsiaTheme="minorEastAsia"/>
        </w:rPr>
        <w:t>Metodología</w:t>
      </w:r>
      <w:bookmarkEnd w:id="3"/>
    </w:p>
    <w:p w14:paraId="44B90D84" w14:textId="77777777" w:rsidR="00C6711A" w:rsidRPr="00C6711A" w:rsidRDefault="00C6711A" w:rsidP="00C6711A">
      <w:pPr>
        <w:rPr>
          <w:lang w:val="es-ES_tradnl" w:eastAsia="es-ES"/>
        </w:rPr>
      </w:pPr>
    </w:p>
    <w:p w14:paraId="0A485328"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14:paraId="13AAD39D"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14:paraId="1B84FCB6" w14:textId="77777777" w:rsidR="00BB1EA5" w:rsidRPr="000C1EC5" w:rsidRDefault="00BB1EA5" w:rsidP="00BB1EA5">
      <w:pPr>
        <w:jc w:val="both"/>
        <w:rPr>
          <w:rFonts w:ascii="Arial" w:hAnsi="Arial" w:cs="Arial"/>
          <w:sz w:val="20"/>
          <w:szCs w:val="20"/>
          <w:lang w:val="es-ES"/>
        </w:rPr>
      </w:pPr>
      <w:r w:rsidRPr="000C1EC5">
        <w:rPr>
          <w:rFonts w:ascii="Arial" w:hAnsi="Arial" w:cs="Arial"/>
          <w:sz w:val="20"/>
          <w:szCs w:val="20"/>
          <w:lang w:val="es-ES"/>
        </w:rPr>
        <w:lastRenderedPageBreak/>
        <w:t>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14:paraId="57DFA151" w14:textId="77777777" w:rsidR="00BB1EA5" w:rsidRPr="000C1EC5" w:rsidRDefault="00BB1EA5" w:rsidP="00BB1EA5">
      <w:pPr>
        <w:jc w:val="both"/>
        <w:rPr>
          <w:rFonts w:ascii="Arial" w:hAnsi="Arial" w:cs="Arial"/>
          <w:sz w:val="20"/>
          <w:szCs w:val="20"/>
        </w:rPr>
      </w:pPr>
    </w:p>
    <w:p w14:paraId="393C7A0A" w14:textId="77777777" w:rsidR="00380B97" w:rsidRPr="000C1EC5" w:rsidRDefault="00C6711A">
      <w:pPr>
        <w:rPr>
          <w:rFonts w:ascii="Arial" w:hAnsi="Arial" w:cs="Arial"/>
          <w:sz w:val="20"/>
          <w:szCs w:val="20"/>
        </w:rPr>
      </w:pPr>
      <w:r w:rsidRPr="000C1EC5">
        <w:rPr>
          <w:rFonts w:ascii="Arial" w:hAnsi="Arial" w:cs="Arial"/>
          <w:noProof/>
          <w:sz w:val="20"/>
          <w:szCs w:val="20"/>
          <w:lang w:val="es-CO" w:eastAsia="es-CO"/>
        </w:rPr>
        <w:drawing>
          <wp:anchor distT="0" distB="0" distL="114300" distR="114300" simplePos="0" relativeHeight="251659264" behindDoc="0" locked="0" layoutInCell="1" allowOverlap="1" wp14:anchorId="698E78CB" wp14:editId="19BCF6FD">
            <wp:simplePos x="0" y="0"/>
            <wp:positionH relativeFrom="margin">
              <wp:align>center</wp:align>
            </wp:positionH>
            <wp:positionV relativeFrom="margin">
              <wp:posOffset>1178125</wp:posOffset>
            </wp:positionV>
            <wp:extent cx="2667000" cy="1884680"/>
            <wp:effectExtent l="0" t="38100" r="0" b="39370"/>
            <wp:wrapSquare wrapText="bothSides"/>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6022B4C3" w14:textId="77777777" w:rsidR="00BB1EA5" w:rsidRPr="000C1EC5" w:rsidRDefault="00BB1EA5">
      <w:pPr>
        <w:rPr>
          <w:rFonts w:ascii="Arial" w:hAnsi="Arial" w:cs="Arial"/>
          <w:sz w:val="20"/>
          <w:szCs w:val="20"/>
        </w:rPr>
      </w:pPr>
    </w:p>
    <w:p w14:paraId="2E7D8298" w14:textId="77777777" w:rsidR="00BB1EA5" w:rsidRPr="000C1EC5" w:rsidRDefault="00BB1EA5">
      <w:pPr>
        <w:rPr>
          <w:rFonts w:ascii="Arial" w:hAnsi="Arial" w:cs="Arial"/>
          <w:sz w:val="20"/>
          <w:szCs w:val="20"/>
        </w:rPr>
      </w:pPr>
    </w:p>
    <w:p w14:paraId="2007CE52" w14:textId="77777777" w:rsidR="00BB1EA5" w:rsidRPr="000C1EC5" w:rsidRDefault="00BB1EA5">
      <w:pPr>
        <w:rPr>
          <w:rFonts w:ascii="Arial" w:hAnsi="Arial" w:cs="Arial"/>
          <w:sz w:val="20"/>
          <w:szCs w:val="20"/>
        </w:rPr>
      </w:pPr>
    </w:p>
    <w:p w14:paraId="6682F61B" w14:textId="77777777" w:rsidR="00BB1EA5" w:rsidRPr="000C1EC5" w:rsidRDefault="00BB1EA5">
      <w:pPr>
        <w:rPr>
          <w:rFonts w:ascii="Arial" w:hAnsi="Arial" w:cs="Arial"/>
          <w:sz w:val="20"/>
          <w:szCs w:val="20"/>
        </w:rPr>
      </w:pPr>
    </w:p>
    <w:p w14:paraId="49284D3D" w14:textId="77777777" w:rsidR="00BB1EA5" w:rsidRPr="000C1EC5" w:rsidRDefault="00BB1EA5">
      <w:pPr>
        <w:rPr>
          <w:rFonts w:ascii="Arial" w:hAnsi="Arial" w:cs="Arial"/>
          <w:sz w:val="20"/>
          <w:szCs w:val="20"/>
        </w:rPr>
      </w:pPr>
    </w:p>
    <w:p w14:paraId="2A27F86D" w14:textId="77777777" w:rsidR="00BB1EA5" w:rsidRPr="000C1EC5" w:rsidRDefault="00BB1EA5">
      <w:pPr>
        <w:rPr>
          <w:rFonts w:ascii="Arial" w:hAnsi="Arial" w:cs="Arial"/>
          <w:sz w:val="20"/>
          <w:szCs w:val="20"/>
        </w:rPr>
      </w:pPr>
    </w:p>
    <w:p w14:paraId="5A722A37" w14:textId="77777777" w:rsidR="00BB1EA5" w:rsidRPr="000C1EC5" w:rsidRDefault="00BB1EA5" w:rsidP="00BB1EA5">
      <w:pPr>
        <w:jc w:val="center"/>
        <w:rPr>
          <w:rFonts w:ascii="Arial" w:hAnsi="Arial" w:cs="Arial"/>
          <w:b/>
          <w:i/>
          <w:color w:val="44546A" w:themeColor="text2"/>
          <w:sz w:val="20"/>
          <w:szCs w:val="20"/>
        </w:rPr>
      </w:pPr>
    </w:p>
    <w:p w14:paraId="68CA57CB" w14:textId="77777777" w:rsidR="00BB1EA5" w:rsidRPr="000C1EC5" w:rsidRDefault="00BB1EA5" w:rsidP="00BB1EA5">
      <w:pPr>
        <w:jc w:val="center"/>
        <w:rPr>
          <w:rFonts w:ascii="Arial" w:hAnsi="Arial" w:cs="Arial"/>
          <w:b/>
          <w:i/>
          <w:color w:val="44546A" w:themeColor="text2"/>
          <w:sz w:val="20"/>
          <w:szCs w:val="20"/>
        </w:rPr>
      </w:pPr>
    </w:p>
    <w:p w14:paraId="35970274" w14:textId="77777777" w:rsidR="00BB1EA5" w:rsidRPr="000C1EC5" w:rsidRDefault="00BB1EA5" w:rsidP="00BB1EA5">
      <w:pPr>
        <w:jc w:val="center"/>
        <w:rPr>
          <w:rFonts w:ascii="Arial" w:hAnsi="Arial" w:cs="Arial"/>
          <w:b/>
          <w:i/>
          <w:color w:val="44546A" w:themeColor="text2"/>
          <w:sz w:val="20"/>
          <w:szCs w:val="20"/>
        </w:rPr>
      </w:pPr>
    </w:p>
    <w:p w14:paraId="7D45F1B5" w14:textId="2EEC32D5" w:rsidR="00BB1EA5" w:rsidRPr="000C1EC5" w:rsidRDefault="00BB1EA5" w:rsidP="00CB2230">
      <w:pPr>
        <w:pStyle w:val="Ttulo1"/>
        <w:numPr>
          <w:ilvl w:val="0"/>
          <w:numId w:val="7"/>
        </w:numPr>
        <w:jc w:val="center"/>
      </w:pPr>
      <w:bookmarkStart w:id="4" w:name="_Toc41378114"/>
      <w:r w:rsidRPr="000C1EC5">
        <w:t>Fuente de información de datos</w:t>
      </w:r>
      <w:bookmarkEnd w:id="4"/>
    </w:p>
    <w:p w14:paraId="7F569739" w14:textId="77777777" w:rsidR="00BB1EA5" w:rsidRPr="000C1EC5" w:rsidRDefault="00BB1EA5" w:rsidP="00BB1EA5">
      <w:pPr>
        <w:rPr>
          <w:rFonts w:ascii="Arial" w:hAnsi="Arial" w:cs="Arial"/>
          <w:sz w:val="20"/>
          <w:szCs w:val="20"/>
        </w:rPr>
      </w:pPr>
    </w:p>
    <w:p w14:paraId="37F46A42" w14:textId="40A05C3E" w:rsidR="00BB1EA5" w:rsidRDefault="00BB1EA5" w:rsidP="00BB1EA5">
      <w:pPr>
        <w:jc w:val="both"/>
        <w:rPr>
          <w:rFonts w:ascii="Arial" w:hAnsi="Arial" w:cs="Arial"/>
          <w:sz w:val="20"/>
          <w:szCs w:val="20"/>
          <w:lang w:val="es-ES"/>
        </w:rPr>
      </w:pPr>
      <w:r w:rsidRPr="000C1EC5">
        <w:rPr>
          <w:rFonts w:ascii="Arial" w:hAnsi="Arial" w:cs="Arial"/>
          <w:sz w:val="20"/>
          <w:szCs w:val="20"/>
          <w:lang w:val="es-ES"/>
        </w:rPr>
        <w:t xml:space="preserve">La información base para el análisis y evaluación de la gestión la integran los reportes y actualización de datos en las hojas de vida y seguimiento de los indicadores de la entidad realizados por cada una de las áreas para el periodo </w:t>
      </w:r>
      <w:r w:rsidR="00F8148B">
        <w:rPr>
          <w:rFonts w:ascii="Arial" w:hAnsi="Arial" w:cs="Arial"/>
          <w:sz w:val="20"/>
          <w:szCs w:val="20"/>
          <w:lang w:val="es-ES"/>
        </w:rPr>
        <w:t>evaluado</w:t>
      </w:r>
      <w:r w:rsidRPr="000C1EC5">
        <w:rPr>
          <w:rFonts w:ascii="Arial" w:hAnsi="Arial" w:cs="Arial"/>
          <w:sz w:val="20"/>
          <w:szCs w:val="20"/>
          <w:lang w:val="es-ES"/>
        </w:rPr>
        <w:t>:</w:t>
      </w:r>
    </w:p>
    <w:p w14:paraId="369D25E4" w14:textId="77777777" w:rsidR="000616FC" w:rsidRDefault="000616FC" w:rsidP="00BB1EA5">
      <w:pPr>
        <w:jc w:val="both"/>
        <w:rPr>
          <w:rFonts w:ascii="Arial" w:hAnsi="Arial" w:cs="Arial"/>
          <w:sz w:val="20"/>
          <w:szCs w:val="20"/>
          <w:lang w:val="es-ES"/>
        </w:rPr>
      </w:pPr>
    </w:p>
    <w:tbl>
      <w:tblPr>
        <w:tblStyle w:val="Tablaconcuadrcula"/>
        <w:tblW w:w="9273" w:type="dxa"/>
        <w:jc w:val="center"/>
        <w:tblLayout w:type="fixed"/>
        <w:tblLook w:val="04A0" w:firstRow="1" w:lastRow="0" w:firstColumn="1" w:lastColumn="0" w:noHBand="0" w:noVBand="1"/>
      </w:tblPr>
      <w:tblGrid>
        <w:gridCol w:w="2440"/>
        <w:gridCol w:w="707"/>
        <w:gridCol w:w="1101"/>
        <w:gridCol w:w="1198"/>
        <w:gridCol w:w="1212"/>
        <w:gridCol w:w="1198"/>
        <w:gridCol w:w="1417"/>
      </w:tblGrid>
      <w:tr w:rsidR="00BB1EA5" w:rsidRPr="000C1EC5" w14:paraId="31395C87" w14:textId="77777777" w:rsidTr="000616FC">
        <w:trPr>
          <w:trHeight w:val="377"/>
          <w:jc w:val="center"/>
        </w:trPr>
        <w:tc>
          <w:tcPr>
            <w:tcW w:w="3147" w:type="dxa"/>
            <w:gridSpan w:val="2"/>
            <w:vMerge w:val="restart"/>
            <w:shd w:val="clear" w:color="auto" w:fill="92D050"/>
            <w:vAlign w:val="center"/>
          </w:tcPr>
          <w:p w14:paraId="45C37358"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INDICADORES EVALUADOS</w:t>
            </w:r>
          </w:p>
        </w:tc>
        <w:tc>
          <w:tcPr>
            <w:tcW w:w="6126" w:type="dxa"/>
            <w:gridSpan w:val="5"/>
            <w:shd w:val="clear" w:color="auto" w:fill="92D050"/>
            <w:vAlign w:val="center"/>
          </w:tcPr>
          <w:p w14:paraId="762CD6CD"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Periodicidad de Reporte</w:t>
            </w:r>
          </w:p>
        </w:tc>
      </w:tr>
      <w:tr w:rsidR="00BB1EA5" w:rsidRPr="000C1EC5" w14:paraId="3A0C0810" w14:textId="77777777" w:rsidTr="0097067A">
        <w:trPr>
          <w:trHeight w:val="380"/>
          <w:jc w:val="center"/>
        </w:trPr>
        <w:tc>
          <w:tcPr>
            <w:tcW w:w="3147" w:type="dxa"/>
            <w:gridSpan w:val="2"/>
            <w:vMerge/>
            <w:shd w:val="clear" w:color="auto" w:fill="8496B0" w:themeFill="text2" w:themeFillTint="99"/>
            <w:vAlign w:val="center"/>
          </w:tcPr>
          <w:p w14:paraId="009F69CF" w14:textId="77777777" w:rsidR="00BB1EA5" w:rsidRPr="000C1EC5" w:rsidRDefault="00BB1EA5" w:rsidP="00F316E4">
            <w:pPr>
              <w:jc w:val="center"/>
              <w:rPr>
                <w:rFonts w:ascii="Arial" w:hAnsi="Arial" w:cs="Arial"/>
                <w:b/>
                <w:color w:val="000000" w:themeColor="text1"/>
                <w:lang w:val="es-ES"/>
              </w:rPr>
            </w:pPr>
          </w:p>
        </w:tc>
        <w:tc>
          <w:tcPr>
            <w:tcW w:w="1101" w:type="dxa"/>
            <w:shd w:val="clear" w:color="auto" w:fill="00B050"/>
            <w:vAlign w:val="center"/>
          </w:tcPr>
          <w:p w14:paraId="7EAAD79A"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Mensual</w:t>
            </w:r>
          </w:p>
        </w:tc>
        <w:tc>
          <w:tcPr>
            <w:tcW w:w="1198" w:type="dxa"/>
            <w:shd w:val="clear" w:color="auto" w:fill="00B050"/>
            <w:vAlign w:val="center"/>
          </w:tcPr>
          <w:p w14:paraId="7B1E31FE"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Bimestral</w:t>
            </w:r>
          </w:p>
        </w:tc>
        <w:tc>
          <w:tcPr>
            <w:tcW w:w="1212" w:type="dxa"/>
            <w:shd w:val="clear" w:color="auto" w:fill="00B050"/>
            <w:vAlign w:val="center"/>
          </w:tcPr>
          <w:p w14:paraId="5070DD2D"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Trimestral</w:t>
            </w:r>
          </w:p>
        </w:tc>
        <w:tc>
          <w:tcPr>
            <w:tcW w:w="1198" w:type="dxa"/>
            <w:shd w:val="clear" w:color="auto" w:fill="00B050"/>
            <w:vAlign w:val="center"/>
          </w:tcPr>
          <w:p w14:paraId="14E1E396"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Semestral</w:t>
            </w:r>
          </w:p>
        </w:tc>
        <w:tc>
          <w:tcPr>
            <w:tcW w:w="1417" w:type="dxa"/>
            <w:shd w:val="clear" w:color="auto" w:fill="00B050"/>
            <w:vAlign w:val="center"/>
          </w:tcPr>
          <w:p w14:paraId="38E4BBF9"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Anual</w:t>
            </w:r>
          </w:p>
        </w:tc>
      </w:tr>
      <w:tr w:rsidR="00BB1EA5" w:rsidRPr="000C1EC5" w14:paraId="095A9AA1" w14:textId="77777777" w:rsidTr="0097067A">
        <w:trPr>
          <w:trHeight w:val="421"/>
          <w:jc w:val="center"/>
        </w:trPr>
        <w:tc>
          <w:tcPr>
            <w:tcW w:w="2440" w:type="dxa"/>
            <w:shd w:val="clear" w:color="auto" w:fill="00B050"/>
            <w:vAlign w:val="center"/>
          </w:tcPr>
          <w:p w14:paraId="7A9E2806"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TOTAL VIGENCIA 2020</w:t>
            </w:r>
          </w:p>
        </w:tc>
        <w:tc>
          <w:tcPr>
            <w:tcW w:w="707" w:type="dxa"/>
            <w:tcBorders>
              <w:bottom w:val="single" w:sz="4" w:space="0" w:color="auto"/>
            </w:tcBorders>
            <w:shd w:val="clear" w:color="auto" w:fill="FFFFFF"/>
            <w:vAlign w:val="center"/>
          </w:tcPr>
          <w:p w14:paraId="207262B2"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135</w:t>
            </w:r>
          </w:p>
        </w:tc>
        <w:tc>
          <w:tcPr>
            <w:tcW w:w="1101" w:type="dxa"/>
            <w:tcBorders>
              <w:bottom w:val="single" w:sz="4" w:space="0" w:color="auto"/>
            </w:tcBorders>
            <w:vAlign w:val="center"/>
          </w:tcPr>
          <w:p w14:paraId="5F410B86"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23</w:t>
            </w:r>
          </w:p>
        </w:tc>
        <w:tc>
          <w:tcPr>
            <w:tcW w:w="1198" w:type="dxa"/>
            <w:tcBorders>
              <w:bottom w:val="single" w:sz="4" w:space="0" w:color="auto"/>
            </w:tcBorders>
            <w:vAlign w:val="center"/>
          </w:tcPr>
          <w:p w14:paraId="5D63EABF"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1</w:t>
            </w:r>
          </w:p>
        </w:tc>
        <w:tc>
          <w:tcPr>
            <w:tcW w:w="1212" w:type="dxa"/>
            <w:tcBorders>
              <w:bottom w:val="single" w:sz="4" w:space="0" w:color="auto"/>
            </w:tcBorders>
            <w:vAlign w:val="center"/>
          </w:tcPr>
          <w:p w14:paraId="5D317DC6"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76</w:t>
            </w:r>
          </w:p>
        </w:tc>
        <w:tc>
          <w:tcPr>
            <w:tcW w:w="1198" w:type="dxa"/>
            <w:tcBorders>
              <w:bottom w:val="single" w:sz="4" w:space="0" w:color="auto"/>
            </w:tcBorders>
            <w:vAlign w:val="center"/>
          </w:tcPr>
          <w:p w14:paraId="4EB2ED58"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21</w:t>
            </w:r>
          </w:p>
        </w:tc>
        <w:tc>
          <w:tcPr>
            <w:tcW w:w="1417" w:type="dxa"/>
            <w:tcBorders>
              <w:bottom w:val="single" w:sz="4" w:space="0" w:color="auto"/>
            </w:tcBorders>
            <w:vAlign w:val="center"/>
          </w:tcPr>
          <w:p w14:paraId="41482FB2"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15</w:t>
            </w:r>
          </w:p>
        </w:tc>
      </w:tr>
      <w:tr w:rsidR="00BB1EA5" w:rsidRPr="000C1EC5" w14:paraId="2BD49D99" w14:textId="77777777" w:rsidTr="0097067A">
        <w:trPr>
          <w:trHeight w:val="419"/>
          <w:jc w:val="center"/>
        </w:trPr>
        <w:tc>
          <w:tcPr>
            <w:tcW w:w="2440" w:type="dxa"/>
            <w:shd w:val="clear" w:color="auto" w:fill="92D050"/>
            <w:vAlign w:val="center"/>
          </w:tcPr>
          <w:p w14:paraId="73EAD998" w14:textId="6C2B7890" w:rsidR="00BB1EA5" w:rsidRPr="000C1EC5" w:rsidRDefault="0097067A" w:rsidP="00F316E4">
            <w:pPr>
              <w:jc w:val="center"/>
              <w:rPr>
                <w:rFonts w:ascii="Arial" w:hAnsi="Arial" w:cs="Arial"/>
                <w:b/>
                <w:color w:val="000000" w:themeColor="text1"/>
                <w:lang w:val="es-ES"/>
              </w:rPr>
            </w:pPr>
            <w:r>
              <w:rPr>
                <w:rFonts w:ascii="Arial" w:hAnsi="Arial" w:cs="Arial"/>
                <w:b/>
                <w:color w:val="000000" w:themeColor="text1"/>
                <w:lang w:val="es-ES"/>
              </w:rPr>
              <w:t>Abril</w:t>
            </w:r>
          </w:p>
        </w:tc>
        <w:tc>
          <w:tcPr>
            <w:tcW w:w="707" w:type="dxa"/>
            <w:shd w:val="clear" w:color="auto" w:fill="D5DCE4" w:themeFill="text2" w:themeFillTint="33"/>
            <w:vAlign w:val="center"/>
          </w:tcPr>
          <w:p w14:paraId="13AA8486" w14:textId="2564A115" w:rsidR="00BB1EA5" w:rsidRPr="000C1EC5" w:rsidRDefault="0097067A" w:rsidP="00F316E4">
            <w:pPr>
              <w:jc w:val="center"/>
              <w:rPr>
                <w:rFonts w:ascii="Arial" w:hAnsi="Arial" w:cs="Arial"/>
                <w:b/>
                <w:color w:val="000000" w:themeColor="text1"/>
                <w:lang w:val="es-ES"/>
              </w:rPr>
            </w:pPr>
            <w:r>
              <w:rPr>
                <w:rFonts w:ascii="Arial" w:hAnsi="Arial" w:cs="Arial"/>
                <w:b/>
                <w:color w:val="000000" w:themeColor="text1"/>
                <w:lang w:val="es-ES"/>
              </w:rPr>
              <w:t>24</w:t>
            </w:r>
          </w:p>
        </w:tc>
        <w:tc>
          <w:tcPr>
            <w:tcW w:w="1101" w:type="dxa"/>
            <w:shd w:val="clear" w:color="auto" w:fill="D5DCE4" w:themeFill="text2" w:themeFillTint="33"/>
            <w:vAlign w:val="center"/>
          </w:tcPr>
          <w:p w14:paraId="0FAAB62A"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23</w:t>
            </w:r>
          </w:p>
        </w:tc>
        <w:tc>
          <w:tcPr>
            <w:tcW w:w="1198" w:type="dxa"/>
            <w:shd w:val="clear" w:color="auto" w:fill="D5DCE4" w:themeFill="text2" w:themeFillTint="33"/>
            <w:vAlign w:val="center"/>
          </w:tcPr>
          <w:p w14:paraId="231B268D" w14:textId="7D97D227" w:rsidR="00BB1EA5" w:rsidRPr="000C1EC5" w:rsidRDefault="0097067A" w:rsidP="00F316E4">
            <w:pPr>
              <w:jc w:val="center"/>
              <w:rPr>
                <w:rFonts w:ascii="Arial" w:hAnsi="Arial" w:cs="Arial"/>
                <w:b/>
                <w:color w:val="000000" w:themeColor="text1"/>
                <w:lang w:val="es-ES"/>
              </w:rPr>
            </w:pPr>
            <w:r>
              <w:rPr>
                <w:rFonts w:ascii="Arial" w:hAnsi="Arial" w:cs="Arial"/>
                <w:b/>
                <w:color w:val="000000" w:themeColor="text1"/>
                <w:lang w:val="es-ES"/>
              </w:rPr>
              <w:t>1</w:t>
            </w:r>
          </w:p>
        </w:tc>
        <w:tc>
          <w:tcPr>
            <w:tcW w:w="1212" w:type="dxa"/>
            <w:shd w:val="clear" w:color="auto" w:fill="D5DCE4" w:themeFill="text2" w:themeFillTint="33"/>
            <w:vAlign w:val="center"/>
          </w:tcPr>
          <w:p w14:paraId="63A2B906" w14:textId="064FD674" w:rsidR="00BB1EA5" w:rsidRPr="000C1EC5" w:rsidRDefault="0097067A" w:rsidP="0097067A">
            <w:pPr>
              <w:jc w:val="center"/>
              <w:rPr>
                <w:rFonts w:ascii="Arial" w:hAnsi="Arial" w:cs="Arial"/>
                <w:b/>
                <w:color w:val="000000" w:themeColor="text1"/>
                <w:lang w:val="es-ES"/>
              </w:rPr>
            </w:pPr>
            <w:r w:rsidRPr="000C1EC5">
              <w:rPr>
                <w:rFonts w:ascii="Arial" w:hAnsi="Arial" w:cs="Arial"/>
                <w:b/>
                <w:color w:val="000000" w:themeColor="text1"/>
                <w:lang w:val="es-ES"/>
              </w:rPr>
              <w:t>-</w:t>
            </w:r>
          </w:p>
        </w:tc>
        <w:tc>
          <w:tcPr>
            <w:tcW w:w="1198" w:type="dxa"/>
            <w:shd w:val="clear" w:color="auto" w:fill="D5DCE4" w:themeFill="text2" w:themeFillTint="33"/>
            <w:vAlign w:val="center"/>
          </w:tcPr>
          <w:p w14:paraId="74A11828"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w:t>
            </w:r>
          </w:p>
        </w:tc>
        <w:tc>
          <w:tcPr>
            <w:tcW w:w="1417" w:type="dxa"/>
            <w:shd w:val="clear" w:color="auto" w:fill="D5DCE4" w:themeFill="text2" w:themeFillTint="33"/>
            <w:vAlign w:val="center"/>
          </w:tcPr>
          <w:p w14:paraId="6328B5D5" w14:textId="77777777" w:rsidR="00BB1EA5" w:rsidRPr="000C1EC5" w:rsidRDefault="00BB1EA5" w:rsidP="00F316E4">
            <w:pPr>
              <w:jc w:val="center"/>
              <w:rPr>
                <w:rFonts w:ascii="Arial" w:hAnsi="Arial" w:cs="Arial"/>
                <w:b/>
                <w:color w:val="000000" w:themeColor="text1"/>
                <w:lang w:val="es-ES"/>
              </w:rPr>
            </w:pPr>
            <w:r w:rsidRPr="000C1EC5">
              <w:rPr>
                <w:rFonts w:ascii="Arial" w:hAnsi="Arial" w:cs="Arial"/>
                <w:b/>
                <w:color w:val="000000" w:themeColor="text1"/>
                <w:lang w:val="es-ES"/>
              </w:rPr>
              <w:t>-</w:t>
            </w:r>
          </w:p>
        </w:tc>
      </w:tr>
    </w:tbl>
    <w:p w14:paraId="16AEBBAB" w14:textId="77777777" w:rsidR="00BB1EA5" w:rsidRPr="000C1EC5" w:rsidRDefault="00BB1EA5" w:rsidP="00BB1EA5">
      <w:pPr>
        <w:ind w:left="142"/>
        <w:jc w:val="both"/>
        <w:rPr>
          <w:rFonts w:ascii="Arial" w:hAnsi="Arial" w:cs="Arial"/>
          <w:sz w:val="20"/>
          <w:szCs w:val="20"/>
        </w:rPr>
      </w:pPr>
    </w:p>
    <w:p w14:paraId="486254BB" w14:textId="61E828E4" w:rsidR="00BB1EA5" w:rsidRPr="00135C06" w:rsidRDefault="00BB1EA5" w:rsidP="00F8148B">
      <w:pPr>
        <w:jc w:val="both"/>
        <w:rPr>
          <w:rFonts w:ascii="Arial" w:hAnsi="Arial" w:cs="Arial"/>
          <w:sz w:val="20"/>
          <w:szCs w:val="20"/>
        </w:rPr>
      </w:pPr>
      <w:r w:rsidRPr="00135C06">
        <w:t>Lo indicadores establecidos para el periodo</w:t>
      </w:r>
      <w:r w:rsidR="005F09D5">
        <w:t xml:space="preserve"> de </w:t>
      </w:r>
      <w:r w:rsidR="0097067A">
        <w:t>abril</w:t>
      </w:r>
      <w:r w:rsidRPr="00135C06">
        <w:t xml:space="preserve"> se describen a continuación, conforme su comportamiento, agrupándolos de acuerdo con los intervalos de calificación de cumplimiento según su ejecución; de manera detallada se analizan los casos fuera del criterio de calificación durante el periodo evaluado así: Indicadores en estado sobresaliente; Indicadores en estado aceptable; Indicadores en estado insuficiente; Indicadores con ejecución del más del 100%; Indicadores con programación que presentan ejecución en cero; Indicadores que reportan avance y su programación es cero</w:t>
      </w:r>
      <w:r w:rsidRPr="00135C06">
        <w:rPr>
          <w:rFonts w:ascii="Arial" w:hAnsi="Arial" w:cs="Arial"/>
          <w:sz w:val="20"/>
          <w:szCs w:val="20"/>
        </w:rPr>
        <w:t>.</w:t>
      </w:r>
    </w:p>
    <w:p w14:paraId="7F5959F4" w14:textId="77777777" w:rsidR="00BB1EA5" w:rsidRPr="000C1EC5" w:rsidRDefault="00BB1EA5" w:rsidP="00BB1EA5">
      <w:pPr>
        <w:rPr>
          <w:rFonts w:ascii="Arial" w:hAnsi="Arial" w:cs="Arial"/>
          <w:sz w:val="20"/>
          <w:szCs w:val="20"/>
          <w:lang w:val="es-ES_tradnl" w:eastAsia="es-ES"/>
        </w:rPr>
      </w:pPr>
    </w:p>
    <w:p w14:paraId="21DCE58C" w14:textId="63C4DADB" w:rsidR="00BB1EA5" w:rsidRPr="00C6711A" w:rsidRDefault="00CB2230" w:rsidP="00CB2230">
      <w:pPr>
        <w:pStyle w:val="Ttulo2"/>
        <w:numPr>
          <w:ilvl w:val="1"/>
          <w:numId w:val="7"/>
        </w:numPr>
        <w:jc w:val="center"/>
      </w:pPr>
      <w:r>
        <w:lastRenderedPageBreak/>
        <w:t xml:space="preserve"> </w:t>
      </w:r>
      <w:bookmarkStart w:id="5" w:name="_Toc41378115"/>
      <w:r w:rsidR="00BB1EA5" w:rsidRPr="00C6711A">
        <w:t>Indicadores en estado sobresaliente</w:t>
      </w:r>
      <w:bookmarkEnd w:id="5"/>
    </w:p>
    <w:p w14:paraId="62FF8294" w14:textId="77777777" w:rsidR="00F8148B" w:rsidRDefault="00F8148B" w:rsidP="00BB1EA5">
      <w:pPr>
        <w:jc w:val="both"/>
        <w:rPr>
          <w:rFonts w:ascii="Arial" w:hAnsi="Arial" w:cs="Arial"/>
          <w:sz w:val="20"/>
          <w:szCs w:val="20"/>
        </w:rPr>
      </w:pPr>
    </w:p>
    <w:p w14:paraId="7D06B3C6" w14:textId="020818ED" w:rsidR="00BB1EA5" w:rsidRPr="000C1EC5" w:rsidRDefault="00BB1EA5" w:rsidP="00BB1EA5">
      <w:pPr>
        <w:jc w:val="both"/>
        <w:rPr>
          <w:rFonts w:ascii="Arial" w:hAnsi="Arial" w:cs="Arial"/>
          <w:sz w:val="20"/>
          <w:szCs w:val="20"/>
        </w:rPr>
      </w:pPr>
      <w:r w:rsidRPr="000C1EC5">
        <w:rPr>
          <w:rFonts w:ascii="Arial" w:hAnsi="Arial" w:cs="Arial"/>
          <w:sz w:val="20"/>
          <w:szCs w:val="20"/>
        </w:rPr>
        <w:t xml:space="preserve">Para este periodo son </w:t>
      </w:r>
      <w:r w:rsidR="0097067A">
        <w:rPr>
          <w:rFonts w:ascii="Arial" w:hAnsi="Arial" w:cs="Arial"/>
          <w:sz w:val="20"/>
          <w:szCs w:val="20"/>
        </w:rPr>
        <w:t>doce</w:t>
      </w:r>
      <w:r w:rsidR="005F09D5" w:rsidRPr="000C1EC5">
        <w:rPr>
          <w:rFonts w:ascii="Arial" w:hAnsi="Arial" w:cs="Arial"/>
          <w:sz w:val="20"/>
          <w:szCs w:val="20"/>
        </w:rPr>
        <w:t xml:space="preserve"> </w:t>
      </w:r>
      <w:r w:rsidRPr="000C1EC5">
        <w:rPr>
          <w:rFonts w:ascii="Arial" w:hAnsi="Arial" w:cs="Arial"/>
          <w:sz w:val="20"/>
          <w:szCs w:val="20"/>
        </w:rPr>
        <w:t>(</w:t>
      </w:r>
      <w:r w:rsidR="0097067A">
        <w:rPr>
          <w:rFonts w:ascii="Arial" w:hAnsi="Arial" w:cs="Arial"/>
          <w:sz w:val="20"/>
          <w:szCs w:val="20"/>
        </w:rPr>
        <w:t>12</w:t>
      </w:r>
      <w:r w:rsidRPr="000C1EC5">
        <w:rPr>
          <w:rFonts w:ascii="Arial" w:hAnsi="Arial" w:cs="Arial"/>
          <w:sz w:val="20"/>
          <w:szCs w:val="20"/>
        </w:rPr>
        <w:t>) los indicadores que presentan avance satisfactorio en sus actividades programadas, ubicándolos en el intervalo de evaluación sobresaliente con una ejecución, entre el 70,01% y el 100%; estos son:</w:t>
      </w:r>
    </w:p>
    <w:tbl>
      <w:tblPr>
        <w:tblW w:w="11624" w:type="dxa"/>
        <w:tblInd w:w="-1423" w:type="dxa"/>
        <w:tblLayout w:type="fixed"/>
        <w:tblCellMar>
          <w:left w:w="227" w:type="dxa"/>
          <w:right w:w="227" w:type="dxa"/>
        </w:tblCellMar>
        <w:tblLook w:val="0600" w:firstRow="0" w:lastRow="0" w:firstColumn="0" w:lastColumn="0" w:noHBand="1" w:noVBand="1"/>
      </w:tblPr>
      <w:tblGrid>
        <w:gridCol w:w="2836"/>
        <w:gridCol w:w="1276"/>
        <w:gridCol w:w="1559"/>
        <w:gridCol w:w="1559"/>
        <w:gridCol w:w="992"/>
        <w:gridCol w:w="993"/>
        <w:gridCol w:w="1559"/>
        <w:gridCol w:w="850"/>
      </w:tblGrid>
      <w:tr w:rsidR="005F09D5" w:rsidRPr="00AB6725" w14:paraId="13ABE74D" w14:textId="77777777" w:rsidTr="00D3127B">
        <w:trPr>
          <w:trHeight w:val="546"/>
          <w:tblHeader/>
        </w:trPr>
        <w:tc>
          <w:tcPr>
            <w:tcW w:w="2836"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052BA1E7"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Indicador</w:t>
            </w:r>
          </w:p>
        </w:tc>
        <w:tc>
          <w:tcPr>
            <w:tcW w:w="1276"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75EECED7"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Meta anual</w:t>
            </w:r>
          </w:p>
        </w:tc>
        <w:tc>
          <w:tcPr>
            <w:tcW w:w="155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65820996"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Valor proyectado periodo</w:t>
            </w:r>
          </w:p>
        </w:tc>
        <w:tc>
          <w:tcPr>
            <w:tcW w:w="155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48B6A685"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Valor ejecutado periodo</w:t>
            </w:r>
          </w:p>
        </w:tc>
        <w:tc>
          <w:tcPr>
            <w:tcW w:w="992"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221F0CCB" w14:textId="77777777" w:rsidR="00BB1EA5" w:rsidRPr="002A74F3" w:rsidRDefault="00BB1EA5" w:rsidP="00F316E4">
            <w:pPr>
              <w:jc w:val="center"/>
              <w:rPr>
                <w:rFonts w:ascii="Arial" w:hAnsi="Arial" w:cs="Arial"/>
                <w:b/>
                <w:bCs/>
                <w:sz w:val="16"/>
                <w:szCs w:val="18"/>
                <w:lang w:val="es-ES"/>
              </w:rPr>
            </w:pPr>
            <w:r w:rsidRPr="002A74F3">
              <w:rPr>
                <w:rFonts w:ascii="Arial" w:hAnsi="Arial" w:cs="Arial"/>
                <w:b/>
                <w:bCs/>
                <w:sz w:val="16"/>
                <w:szCs w:val="18"/>
                <w:lang w:val="es-ES"/>
              </w:rPr>
              <w:t>% mensual</w:t>
            </w:r>
          </w:p>
          <w:p w14:paraId="1C3A7E5F"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de avance</w:t>
            </w:r>
          </w:p>
        </w:tc>
        <w:tc>
          <w:tcPr>
            <w:tcW w:w="993"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0B0EC5F3" w14:textId="77777777" w:rsidR="00BB1EA5" w:rsidRPr="002A74F3" w:rsidRDefault="00BB1EA5" w:rsidP="00F316E4">
            <w:pPr>
              <w:jc w:val="center"/>
              <w:rPr>
                <w:rFonts w:ascii="Arial" w:hAnsi="Arial" w:cs="Arial"/>
                <w:b/>
                <w:bCs/>
                <w:sz w:val="16"/>
                <w:szCs w:val="18"/>
                <w:lang w:val="es-ES"/>
              </w:rPr>
            </w:pPr>
            <w:r w:rsidRPr="002A74F3">
              <w:rPr>
                <w:rFonts w:ascii="Arial" w:hAnsi="Arial" w:cs="Arial"/>
                <w:b/>
                <w:bCs/>
                <w:sz w:val="16"/>
                <w:szCs w:val="18"/>
                <w:lang w:val="es-ES"/>
              </w:rPr>
              <w:t>%</w:t>
            </w:r>
          </w:p>
          <w:p w14:paraId="50CCC109" w14:textId="77777777" w:rsidR="00BB1EA5" w:rsidRPr="002A74F3" w:rsidRDefault="00BB1EA5" w:rsidP="00F316E4">
            <w:pPr>
              <w:ind w:right="-15"/>
              <w:jc w:val="center"/>
              <w:rPr>
                <w:rFonts w:ascii="Arial" w:hAnsi="Arial" w:cs="Arial"/>
                <w:b/>
                <w:sz w:val="16"/>
                <w:szCs w:val="18"/>
                <w:lang w:val="es-CO"/>
              </w:rPr>
            </w:pPr>
            <w:r w:rsidRPr="002A74F3">
              <w:rPr>
                <w:rFonts w:ascii="Arial" w:hAnsi="Arial" w:cs="Arial"/>
                <w:b/>
                <w:bCs/>
                <w:sz w:val="16"/>
                <w:szCs w:val="18"/>
                <w:lang w:val="es-ES"/>
              </w:rPr>
              <w:t>Acumulado</w:t>
            </w:r>
          </w:p>
        </w:tc>
        <w:tc>
          <w:tcPr>
            <w:tcW w:w="155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5A16543A" w14:textId="77777777" w:rsidR="00BB1EA5" w:rsidRPr="002A74F3" w:rsidRDefault="00BB1EA5" w:rsidP="00F316E4">
            <w:pPr>
              <w:jc w:val="center"/>
              <w:rPr>
                <w:rFonts w:ascii="Arial" w:hAnsi="Arial" w:cs="Arial"/>
                <w:b/>
                <w:bCs/>
                <w:sz w:val="16"/>
                <w:szCs w:val="18"/>
                <w:lang w:val="es-ES"/>
              </w:rPr>
            </w:pPr>
            <w:r w:rsidRPr="002A74F3">
              <w:rPr>
                <w:rFonts w:ascii="Arial" w:hAnsi="Arial" w:cs="Arial"/>
                <w:b/>
                <w:bCs/>
                <w:sz w:val="16"/>
                <w:szCs w:val="18"/>
                <w:lang w:val="es-ES"/>
              </w:rPr>
              <w:t>Valor ejecutado</w:t>
            </w:r>
          </w:p>
          <w:p w14:paraId="25AA2CBC"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 xml:space="preserve"> anual</w:t>
            </w:r>
          </w:p>
        </w:tc>
        <w:tc>
          <w:tcPr>
            <w:tcW w:w="850"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0C82DED9"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 avance anual</w:t>
            </w:r>
          </w:p>
        </w:tc>
      </w:tr>
      <w:tr w:rsidR="005F09D5" w:rsidRPr="00AB6725" w14:paraId="0A5679AC" w14:textId="77777777" w:rsidTr="00D3127B">
        <w:trPr>
          <w:trHeight w:val="212"/>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D53EDA" w14:textId="09339DBA" w:rsidR="00BB1EA5" w:rsidRPr="00AB6725" w:rsidRDefault="0097067A" w:rsidP="00F316E4">
            <w:pPr>
              <w:ind w:left="131" w:right="124"/>
              <w:jc w:val="both"/>
              <w:rPr>
                <w:rFonts w:ascii="Arial" w:hAnsi="Arial" w:cs="Arial"/>
                <w:color w:val="000000"/>
                <w:sz w:val="18"/>
                <w:szCs w:val="18"/>
              </w:rPr>
            </w:pPr>
            <w:r w:rsidRPr="0097067A">
              <w:rPr>
                <w:rFonts w:ascii="Arial" w:hAnsi="Arial" w:cs="Arial"/>
                <w:color w:val="000000"/>
                <w:sz w:val="18"/>
                <w:szCs w:val="18"/>
              </w:rPr>
              <w:t>Seguimiento a la ejecución de pagos programados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D90EC8" w14:textId="32578F73" w:rsidR="00BB1EA5" w:rsidRPr="00253F5C" w:rsidRDefault="0097067A" w:rsidP="00F316E4">
            <w:pPr>
              <w:ind w:left="131" w:right="124"/>
              <w:jc w:val="center"/>
              <w:rPr>
                <w:rFonts w:ascii="Arial" w:hAnsi="Arial" w:cs="Arial"/>
                <w:color w:val="000000"/>
                <w:sz w:val="16"/>
                <w:szCs w:val="18"/>
              </w:rPr>
            </w:pPr>
            <w:r w:rsidRPr="00253F5C">
              <w:rPr>
                <w:rFonts w:ascii="Arial" w:hAnsi="Arial" w:cs="Arial"/>
                <w:color w:val="000000"/>
                <w:sz w:val="16"/>
                <w:szCs w:val="18"/>
              </w:rPr>
              <w:t>$ 112.536.624.000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18E379" w14:textId="10E74F5B" w:rsidR="00BB1EA5" w:rsidRPr="00253F5C" w:rsidRDefault="0097067A" w:rsidP="00F316E4">
            <w:pPr>
              <w:ind w:left="131" w:right="124"/>
              <w:jc w:val="center"/>
              <w:rPr>
                <w:rFonts w:ascii="Arial" w:hAnsi="Arial" w:cs="Arial"/>
                <w:color w:val="000000"/>
                <w:sz w:val="16"/>
                <w:szCs w:val="18"/>
              </w:rPr>
            </w:pPr>
            <w:r w:rsidRPr="00253F5C">
              <w:rPr>
                <w:rFonts w:ascii="Arial" w:hAnsi="Arial" w:cs="Arial"/>
                <w:color w:val="000000"/>
                <w:sz w:val="16"/>
                <w:szCs w:val="18"/>
              </w:rPr>
              <w:t>$12.464.968.000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ADB8A79" w14:textId="2628AC93" w:rsidR="00BB1EA5" w:rsidRPr="00253F5C" w:rsidRDefault="00DB56A2" w:rsidP="00F316E4">
            <w:pPr>
              <w:ind w:left="131" w:right="124"/>
              <w:jc w:val="center"/>
              <w:rPr>
                <w:rFonts w:ascii="Arial" w:hAnsi="Arial" w:cs="Arial"/>
                <w:color w:val="000000"/>
                <w:sz w:val="16"/>
                <w:szCs w:val="18"/>
              </w:rPr>
            </w:pPr>
            <w:r w:rsidRPr="00253F5C">
              <w:rPr>
                <w:rFonts w:ascii="Arial" w:hAnsi="Arial" w:cs="Arial"/>
                <w:color w:val="000000"/>
                <w:sz w:val="16"/>
                <w:szCs w:val="18"/>
              </w:rPr>
              <w:t>$2.841.242.884</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35C24FD" w14:textId="01715467" w:rsidR="00BB1EA5" w:rsidRPr="00AB6725" w:rsidRDefault="00DB56A2" w:rsidP="00F316E4">
            <w:pPr>
              <w:ind w:left="131" w:right="124"/>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103E05D" w14:textId="73BFB474"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C3438C" w14:textId="1CD0D28C" w:rsidR="00BB1EA5" w:rsidRPr="00AB6725" w:rsidRDefault="00DB56A2" w:rsidP="00F316E4">
            <w:pPr>
              <w:ind w:left="131" w:right="124"/>
              <w:jc w:val="center"/>
              <w:rPr>
                <w:rFonts w:ascii="Arial" w:hAnsi="Arial" w:cs="Arial"/>
                <w:color w:val="000000"/>
                <w:sz w:val="18"/>
                <w:szCs w:val="18"/>
              </w:rPr>
            </w:pPr>
            <w:r w:rsidRPr="00DB56A2">
              <w:rPr>
                <w:rFonts w:ascii="Arial" w:hAnsi="Arial" w:cs="Arial"/>
                <w:color w:val="000000"/>
                <w:sz w:val="18"/>
                <w:szCs w:val="18"/>
              </w:rPr>
              <w:t>$2.841.242.884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03440D" w14:textId="122A17A9" w:rsidR="00BB1EA5" w:rsidRPr="00AB6725" w:rsidRDefault="00DB56A2" w:rsidP="00F316E4">
            <w:pPr>
              <w:ind w:left="-10"/>
              <w:jc w:val="center"/>
              <w:rPr>
                <w:rFonts w:ascii="Arial" w:hAnsi="Arial" w:cs="Arial"/>
                <w:color w:val="000000"/>
                <w:sz w:val="18"/>
                <w:szCs w:val="18"/>
              </w:rPr>
            </w:pPr>
            <w:r>
              <w:rPr>
                <w:rFonts w:ascii="Arial" w:hAnsi="Arial" w:cs="Arial"/>
                <w:color w:val="000000"/>
                <w:sz w:val="18"/>
                <w:szCs w:val="18"/>
              </w:rPr>
              <w:t>23</w:t>
            </w:r>
          </w:p>
        </w:tc>
      </w:tr>
      <w:tr w:rsidR="005F09D5" w:rsidRPr="00AB6725" w14:paraId="35E31F40" w14:textId="77777777" w:rsidTr="00D3127B">
        <w:trPr>
          <w:trHeight w:val="337"/>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8671E2" w14:textId="147F3A1D" w:rsidR="00BB1EA5" w:rsidRPr="00AB6725" w:rsidRDefault="00DB56A2" w:rsidP="00F316E4">
            <w:pPr>
              <w:ind w:left="131" w:right="124"/>
              <w:jc w:val="both"/>
              <w:rPr>
                <w:rFonts w:ascii="Arial" w:hAnsi="Arial" w:cs="Arial"/>
                <w:color w:val="000000"/>
                <w:sz w:val="18"/>
                <w:szCs w:val="18"/>
              </w:rPr>
            </w:pPr>
            <w:r w:rsidRPr="00DB56A2">
              <w:rPr>
                <w:rFonts w:ascii="Arial" w:hAnsi="Arial" w:cs="Arial"/>
                <w:color w:val="000000"/>
                <w:sz w:val="18"/>
                <w:szCs w:val="18"/>
              </w:rPr>
              <w:t>Número de ciudadanos en procesos de participación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ACBBFFE" w14:textId="4446277E" w:rsidR="00BB1EA5" w:rsidRPr="00AB6725" w:rsidRDefault="00DB56A2" w:rsidP="00F316E4">
            <w:pPr>
              <w:ind w:left="131" w:right="124"/>
              <w:jc w:val="center"/>
              <w:rPr>
                <w:rFonts w:ascii="Arial" w:hAnsi="Arial" w:cs="Arial"/>
                <w:color w:val="000000"/>
                <w:sz w:val="18"/>
                <w:szCs w:val="18"/>
              </w:rPr>
            </w:pPr>
            <w:r w:rsidRPr="00DB56A2">
              <w:rPr>
                <w:rFonts w:ascii="Arial" w:hAnsi="Arial" w:cs="Arial"/>
                <w:color w:val="000000"/>
                <w:sz w:val="18"/>
                <w:szCs w:val="18"/>
              </w:rPr>
              <w:t>125.000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916BC3" w14:textId="556F658A" w:rsidR="00BB1EA5" w:rsidRPr="00AB6725" w:rsidRDefault="00DB56A2" w:rsidP="00F316E4">
            <w:pPr>
              <w:ind w:left="131" w:right="124"/>
              <w:jc w:val="center"/>
              <w:rPr>
                <w:rFonts w:ascii="Arial" w:hAnsi="Arial" w:cs="Arial"/>
                <w:color w:val="000000"/>
                <w:sz w:val="18"/>
                <w:szCs w:val="18"/>
              </w:rPr>
            </w:pPr>
            <w:r w:rsidRPr="00DB56A2">
              <w:rPr>
                <w:rFonts w:ascii="Arial" w:hAnsi="Arial" w:cs="Arial"/>
                <w:color w:val="000000"/>
                <w:sz w:val="18"/>
                <w:szCs w:val="18"/>
              </w:rPr>
              <w:t>123.382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DFCE50" w14:textId="52A215B5" w:rsidR="00BB1EA5" w:rsidRPr="00AB6725" w:rsidRDefault="00DB56A2" w:rsidP="00F316E4">
            <w:pPr>
              <w:ind w:left="-15"/>
              <w:jc w:val="center"/>
              <w:rPr>
                <w:rFonts w:ascii="Arial" w:hAnsi="Arial" w:cs="Arial"/>
                <w:color w:val="000000"/>
                <w:sz w:val="18"/>
                <w:szCs w:val="18"/>
              </w:rPr>
            </w:pPr>
            <w:r w:rsidRPr="00DB56A2">
              <w:rPr>
                <w:rFonts w:ascii="Arial" w:hAnsi="Arial" w:cs="Arial"/>
                <w:color w:val="000000"/>
                <w:sz w:val="18"/>
                <w:szCs w:val="18"/>
              </w:rPr>
              <w:t>123.939</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2FAAEEC" w14:textId="2F279234" w:rsidR="00BB1EA5" w:rsidRPr="00AB6725" w:rsidRDefault="00DB56A2" w:rsidP="00F316E4">
            <w:pPr>
              <w:ind w:left="131" w:right="124"/>
              <w:jc w:val="center"/>
              <w:rPr>
                <w:rFonts w:ascii="Arial" w:hAnsi="Arial" w:cs="Arial"/>
                <w:b/>
                <w:bCs/>
                <w:color w:val="000000"/>
                <w:sz w:val="18"/>
                <w:szCs w:val="18"/>
              </w:rPr>
            </w:pPr>
            <w:r>
              <w:rPr>
                <w:rFonts w:ascii="Arial" w:hAnsi="Arial" w:cs="Arial"/>
                <w:b/>
                <w:bCs/>
                <w:color w:val="000000"/>
                <w:sz w:val="18"/>
                <w:szCs w:val="18"/>
              </w:rPr>
              <w:t>99</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46158819" w14:textId="1C209961"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99.36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13044B" w14:textId="4C9EE9DC" w:rsidR="00BB1EA5" w:rsidRPr="00AB6725" w:rsidRDefault="00DB56A2" w:rsidP="00F316E4">
            <w:pPr>
              <w:ind w:left="-15"/>
              <w:jc w:val="center"/>
              <w:rPr>
                <w:rFonts w:ascii="Arial" w:hAnsi="Arial" w:cs="Arial"/>
                <w:color w:val="000000"/>
                <w:sz w:val="18"/>
                <w:szCs w:val="18"/>
              </w:rPr>
            </w:pPr>
            <w:r w:rsidRPr="00DB56A2">
              <w:rPr>
                <w:rFonts w:ascii="Arial" w:hAnsi="Arial" w:cs="Arial"/>
                <w:color w:val="000000"/>
                <w:sz w:val="18"/>
                <w:szCs w:val="18"/>
              </w:rPr>
              <w:t>123.939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B988996" w14:textId="077E7378" w:rsidR="00BB1EA5" w:rsidRPr="00AB6725" w:rsidRDefault="00DB56A2" w:rsidP="00F316E4">
            <w:pPr>
              <w:ind w:left="-10"/>
              <w:jc w:val="center"/>
              <w:rPr>
                <w:rFonts w:ascii="Arial" w:hAnsi="Arial" w:cs="Arial"/>
                <w:color w:val="000000"/>
                <w:sz w:val="18"/>
                <w:szCs w:val="18"/>
              </w:rPr>
            </w:pPr>
            <w:r>
              <w:rPr>
                <w:rFonts w:ascii="Arial" w:hAnsi="Arial" w:cs="Arial"/>
                <w:color w:val="000000"/>
                <w:sz w:val="18"/>
                <w:szCs w:val="18"/>
              </w:rPr>
              <w:t>99.15</w:t>
            </w:r>
          </w:p>
        </w:tc>
      </w:tr>
      <w:tr w:rsidR="005F09D5" w:rsidRPr="00AB6725" w14:paraId="694744BC" w14:textId="77777777" w:rsidTr="00D3127B">
        <w:trPr>
          <w:trHeight w:val="489"/>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532B955" w14:textId="3E091C7D" w:rsidR="00BB1EA5" w:rsidRPr="00AB6725" w:rsidRDefault="00DB56A2" w:rsidP="00F316E4">
            <w:pPr>
              <w:ind w:left="131" w:right="124"/>
              <w:jc w:val="both"/>
              <w:rPr>
                <w:rFonts w:ascii="Arial" w:hAnsi="Arial" w:cs="Arial"/>
                <w:color w:val="000000"/>
                <w:sz w:val="18"/>
                <w:szCs w:val="18"/>
              </w:rPr>
            </w:pPr>
            <w:r w:rsidRPr="00DB56A2">
              <w:rPr>
                <w:rFonts w:ascii="Arial" w:hAnsi="Arial" w:cs="Arial"/>
                <w:color w:val="000000"/>
                <w:sz w:val="18"/>
                <w:szCs w:val="18"/>
              </w:rPr>
              <w:t>Número de participantes en acciones de educación en el D.C.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5FCDEF9" w14:textId="370F771B" w:rsidR="00BB1EA5" w:rsidRPr="00AB6725" w:rsidRDefault="00DB56A2" w:rsidP="00F316E4">
            <w:pPr>
              <w:ind w:left="131" w:right="124"/>
              <w:jc w:val="center"/>
              <w:rPr>
                <w:rFonts w:ascii="Arial" w:hAnsi="Arial" w:cs="Arial"/>
                <w:color w:val="000000"/>
                <w:sz w:val="18"/>
                <w:szCs w:val="18"/>
              </w:rPr>
            </w:pPr>
            <w:r w:rsidRPr="00DB56A2">
              <w:rPr>
                <w:rFonts w:ascii="Arial" w:hAnsi="Arial" w:cs="Arial"/>
                <w:color w:val="000000"/>
                <w:sz w:val="18"/>
                <w:szCs w:val="18"/>
              </w:rPr>
              <w:t>1.125.000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102E248" w14:textId="28B2D52D" w:rsidR="00BB1EA5" w:rsidRPr="00AB6725" w:rsidRDefault="00DB56A2" w:rsidP="00F316E4">
            <w:pPr>
              <w:ind w:left="131" w:right="124"/>
              <w:jc w:val="center"/>
              <w:rPr>
                <w:rFonts w:ascii="Arial" w:hAnsi="Arial" w:cs="Arial"/>
                <w:color w:val="000000"/>
                <w:sz w:val="18"/>
                <w:szCs w:val="18"/>
              </w:rPr>
            </w:pPr>
            <w:r w:rsidRPr="00DB56A2">
              <w:rPr>
                <w:rFonts w:ascii="Arial" w:hAnsi="Arial" w:cs="Arial"/>
                <w:color w:val="000000"/>
                <w:sz w:val="18"/>
                <w:szCs w:val="18"/>
              </w:rPr>
              <w:t>1.119.894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AFA63E" w14:textId="2BD60522" w:rsidR="00BB1EA5" w:rsidRPr="00AB6725" w:rsidRDefault="00DB56A2" w:rsidP="00F316E4">
            <w:pPr>
              <w:ind w:left="-7"/>
              <w:jc w:val="center"/>
              <w:rPr>
                <w:rFonts w:ascii="Arial" w:hAnsi="Arial" w:cs="Arial"/>
                <w:color w:val="000000"/>
                <w:sz w:val="18"/>
                <w:szCs w:val="18"/>
              </w:rPr>
            </w:pPr>
            <w:r w:rsidRPr="00DB56A2">
              <w:rPr>
                <w:rFonts w:ascii="Arial" w:hAnsi="Arial" w:cs="Arial"/>
                <w:color w:val="000000"/>
                <w:sz w:val="18"/>
                <w:szCs w:val="18"/>
              </w:rPr>
              <w:t>1.125.743</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2B897A4E" w14:textId="4C8FBBD9"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5425DDBF" w14:textId="41264D26"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BB8D94E" w14:textId="0FA69FB0" w:rsidR="00BB1EA5" w:rsidRPr="00AB6725" w:rsidRDefault="00DB56A2" w:rsidP="00F316E4">
            <w:pPr>
              <w:jc w:val="center"/>
              <w:rPr>
                <w:rFonts w:ascii="Arial" w:hAnsi="Arial" w:cs="Arial"/>
                <w:color w:val="000000"/>
                <w:sz w:val="18"/>
                <w:szCs w:val="18"/>
              </w:rPr>
            </w:pPr>
            <w:r w:rsidRPr="00DB56A2">
              <w:rPr>
                <w:rFonts w:ascii="Arial" w:hAnsi="Arial" w:cs="Arial"/>
                <w:color w:val="000000"/>
                <w:sz w:val="18"/>
                <w:szCs w:val="18"/>
              </w:rPr>
              <w:t>1.125.743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7554EA" w14:textId="0648EEB2"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100</w:t>
            </w:r>
          </w:p>
        </w:tc>
      </w:tr>
      <w:tr w:rsidR="005F09D5" w:rsidRPr="00AB6725" w14:paraId="06B2D859" w14:textId="77777777" w:rsidTr="00D3127B">
        <w:trPr>
          <w:trHeight w:val="539"/>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24D52F" w14:textId="7BE80705" w:rsidR="00BB1EA5" w:rsidRPr="00AB6725" w:rsidRDefault="00DB56A2" w:rsidP="00D3127B">
            <w:pPr>
              <w:ind w:left="131" w:right="124"/>
              <w:jc w:val="both"/>
              <w:rPr>
                <w:rFonts w:ascii="Arial" w:hAnsi="Arial" w:cs="Arial"/>
                <w:color w:val="000000"/>
                <w:sz w:val="18"/>
                <w:szCs w:val="18"/>
              </w:rPr>
            </w:pPr>
            <w:r w:rsidRPr="00DB56A2">
              <w:rPr>
                <w:rFonts w:ascii="Arial" w:hAnsi="Arial" w:cs="Arial"/>
                <w:color w:val="000000"/>
                <w:sz w:val="18"/>
                <w:szCs w:val="18"/>
              </w:rPr>
              <w:t>Plan</w:t>
            </w:r>
            <w:r w:rsidR="00D3127B">
              <w:rPr>
                <w:rFonts w:ascii="Arial" w:hAnsi="Arial" w:cs="Arial"/>
                <w:color w:val="000000"/>
                <w:sz w:val="18"/>
                <w:szCs w:val="18"/>
              </w:rPr>
              <w:t xml:space="preserve"> </w:t>
            </w:r>
            <w:r w:rsidRPr="00DB56A2">
              <w:rPr>
                <w:rFonts w:ascii="Arial" w:hAnsi="Arial" w:cs="Arial"/>
                <w:color w:val="000000"/>
                <w:sz w:val="18"/>
                <w:szCs w:val="18"/>
              </w:rPr>
              <w:t>de</w:t>
            </w:r>
            <w:r w:rsidR="00D3127B">
              <w:rPr>
                <w:rFonts w:ascii="Arial" w:hAnsi="Arial" w:cs="Arial"/>
                <w:color w:val="000000"/>
                <w:sz w:val="18"/>
                <w:szCs w:val="18"/>
              </w:rPr>
              <w:t xml:space="preserve"> </w:t>
            </w:r>
            <w:r w:rsidRPr="00DB56A2">
              <w:rPr>
                <w:rFonts w:ascii="Arial" w:hAnsi="Arial" w:cs="Arial"/>
                <w:color w:val="000000"/>
                <w:sz w:val="18"/>
                <w:szCs w:val="18"/>
              </w:rPr>
              <w:t xml:space="preserve"> Comunicaciones 2020 ejecutado</w:t>
            </w:r>
            <w:r w:rsidR="00D3127B">
              <w:rPr>
                <w:rFonts w:ascii="Arial" w:hAnsi="Arial" w:cs="Arial"/>
                <w:color w:val="000000"/>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353B4" w14:textId="65E094CA" w:rsidR="00BB1EA5" w:rsidRPr="00AB6725" w:rsidRDefault="00DB56A2" w:rsidP="00F316E4">
            <w:pPr>
              <w:ind w:left="-20"/>
              <w:jc w:val="center"/>
              <w:rPr>
                <w:rFonts w:ascii="Arial" w:hAnsi="Arial" w:cs="Arial"/>
                <w:color w:val="000000"/>
                <w:sz w:val="18"/>
                <w:szCs w:val="18"/>
              </w:rPr>
            </w:pPr>
            <w:r>
              <w:rPr>
                <w:rFonts w:ascii="Arial" w:hAnsi="Arial" w:cs="Arial"/>
                <w:color w:val="000000"/>
                <w:sz w:val="18"/>
                <w:szCs w:val="1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E7EDBF5" w14:textId="73B8FAD2" w:rsidR="00BB1EA5" w:rsidRPr="00AB6725" w:rsidRDefault="00DB56A2" w:rsidP="00F316E4">
            <w:pPr>
              <w:ind w:left="-17"/>
              <w:jc w:val="center"/>
              <w:rPr>
                <w:rFonts w:ascii="Arial" w:hAnsi="Arial" w:cs="Arial"/>
                <w:color w:val="000000"/>
                <w:sz w:val="18"/>
                <w:szCs w:val="18"/>
              </w:rPr>
            </w:pPr>
            <w:r>
              <w:rPr>
                <w:rFonts w:ascii="Arial" w:hAnsi="Arial" w:cs="Arial"/>
                <w:color w:val="000000"/>
                <w:sz w:val="18"/>
                <w:szCs w:val="18"/>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3C92F5A" w14:textId="1A7B4AA5" w:rsidR="00BB1EA5" w:rsidRPr="00AB6725" w:rsidRDefault="00DB56A2" w:rsidP="00F316E4">
            <w:pPr>
              <w:ind w:right="-16"/>
              <w:jc w:val="center"/>
              <w:rPr>
                <w:rFonts w:ascii="Arial" w:hAnsi="Arial" w:cs="Arial"/>
                <w:color w:val="000000"/>
                <w:sz w:val="18"/>
                <w:szCs w:val="18"/>
              </w:rPr>
            </w:pPr>
            <w:r>
              <w:rPr>
                <w:rFonts w:ascii="Arial" w:hAnsi="Arial" w:cs="Arial"/>
                <w:color w:val="000000"/>
                <w:sz w:val="18"/>
                <w:szCs w:val="18"/>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382A7885" w14:textId="06EB5544"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505E6493" w14:textId="0D32C375"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454892" w14:textId="2345D0FD" w:rsidR="00BB1EA5" w:rsidRPr="00AB6725" w:rsidRDefault="00DB56A2" w:rsidP="00F316E4">
            <w:pPr>
              <w:jc w:val="center"/>
              <w:rPr>
                <w:rFonts w:ascii="Arial" w:hAnsi="Arial" w:cs="Arial"/>
                <w:color w:val="000000"/>
                <w:sz w:val="18"/>
                <w:szCs w:val="18"/>
              </w:rPr>
            </w:pPr>
            <w:r>
              <w:rPr>
                <w:rFonts w:ascii="Arial" w:hAnsi="Arial" w:cs="Arial"/>
                <w:color w:val="000000"/>
                <w:sz w:val="18"/>
                <w:szCs w:val="18"/>
              </w:rPr>
              <w:t>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FDFBD5" w14:textId="486F3182"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20</w:t>
            </w:r>
          </w:p>
        </w:tc>
      </w:tr>
      <w:tr w:rsidR="00DB56A2" w:rsidRPr="00AB6725" w14:paraId="27CA1D0F" w14:textId="77777777" w:rsidTr="00D3127B">
        <w:trPr>
          <w:trHeight w:val="533"/>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228A21" w14:textId="1BE00D84" w:rsidR="00DB56A2" w:rsidRPr="00AB6725" w:rsidRDefault="00DB56A2" w:rsidP="00DB56A2">
            <w:pPr>
              <w:ind w:right="124"/>
              <w:jc w:val="both"/>
              <w:rPr>
                <w:rFonts w:ascii="Arial" w:hAnsi="Arial" w:cs="Arial"/>
                <w:color w:val="000000"/>
                <w:sz w:val="18"/>
                <w:szCs w:val="18"/>
              </w:rPr>
            </w:pPr>
            <w:r w:rsidRPr="00DB56A2">
              <w:rPr>
                <w:rFonts w:ascii="Arial" w:hAnsi="Arial" w:cs="Arial"/>
                <w:color w:val="000000"/>
                <w:sz w:val="18"/>
                <w:szCs w:val="18"/>
              </w:rPr>
              <w:t xml:space="preserve">Atender emergencias ambientales competencia y jurisdicción de la SDA, activadas por el SDGR </w:t>
            </w:r>
            <w:r>
              <w:rPr>
                <w:rFonts w:ascii="Arial" w:hAnsi="Arial" w:cs="Arial"/>
                <w:color w:val="000000"/>
                <w:sz w:val="18"/>
                <w:szCs w:val="18"/>
              </w:rPr>
              <w:t>–</w:t>
            </w:r>
            <w:r w:rsidRPr="00DB56A2">
              <w:rPr>
                <w:rFonts w:ascii="Arial" w:hAnsi="Arial" w:cs="Arial"/>
                <w:color w:val="000000"/>
                <w:sz w:val="18"/>
                <w:szCs w:val="18"/>
              </w:rPr>
              <w:t xml:space="preserve"> CC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19C584" w14:textId="7D732F68" w:rsidR="00DB56A2" w:rsidRPr="00AB6725" w:rsidRDefault="00DB56A2" w:rsidP="00DB56A2">
            <w:pPr>
              <w:ind w:left="-20"/>
              <w:jc w:val="center"/>
              <w:rPr>
                <w:rFonts w:ascii="Arial" w:hAnsi="Arial" w:cs="Arial"/>
                <w:color w:val="000000"/>
                <w:sz w:val="18"/>
                <w:szCs w:val="18"/>
              </w:rPr>
            </w:pPr>
            <w:r>
              <w:rPr>
                <w:rFonts w:ascii="Arial" w:hAnsi="Arial" w:cs="Arial"/>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5BB3543" w14:textId="68A8ACF5" w:rsidR="00DB56A2" w:rsidRPr="00AB6725" w:rsidRDefault="00DB56A2" w:rsidP="00DB56A2">
            <w:pPr>
              <w:ind w:left="-17"/>
              <w:jc w:val="center"/>
              <w:rPr>
                <w:rFonts w:ascii="Arial" w:hAnsi="Arial" w:cs="Arial"/>
                <w:color w:val="000000"/>
                <w:sz w:val="18"/>
                <w:szCs w:val="18"/>
              </w:rPr>
            </w:pPr>
            <w:r w:rsidRPr="004D437F">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F74326" w14:textId="2A002605" w:rsidR="00DB56A2" w:rsidRPr="00AB6725" w:rsidRDefault="00DB56A2" w:rsidP="00DB56A2">
            <w:pPr>
              <w:ind w:right="-16"/>
              <w:jc w:val="center"/>
              <w:rPr>
                <w:rFonts w:ascii="Arial" w:hAnsi="Arial" w:cs="Arial"/>
                <w:color w:val="000000"/>
                <w:sz w:val="18"/>
                <w:szCs w:val="18"/>
              </w:rPr>
            </w:pPr>
            <w:r w:rsidRPr="004D437F">
              <w:t>100%</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7DD7F3A6" w14:textId="62BF60AF" w:rsidR="00DB56A2" w:rsidRPr="00AB6725" w:rsidRDefault="00DB56A2" w:rsidP="00DB56A2">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0AB2841" w14:textId="62ED15BB" w:rsidR="00DB56A2" w:rsidRPr="00AB6725" w:rsidRDefault="00DB56A2" w:rsidP="00DB56A2">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3436AF" w14:textId="3C677FF3" w:rsidR="00DB56A2" w:rsidRPr="00AB6725" w:rsidRDefault="00DB56A2" w:rsidP="00DB56A2">
            <w:pPr>
              <w:jc w:val="center"/>
              <w:rPr>
                <w:rFonts w:ascii="Arial" w:hAnsi="Arial" w:cs="Arial"/>
                <w:color w:val="000000"/>
                <w:sz w:val="18"/>
                <w:szCs w:val="18"/>
              </w:rPr>
            </w:pPr>
            <w:r>
              <w:rPr>
                <w:rFonts w:ascii="Arial" w:hAnsi="Arial" w:cs="Arial"/>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B228EB8" w14:textId="69A45F06" w:rsidR="00DB56A2" w:rsidRPr="00AB6725" w:rsidRDefault="00DB56A2" w:rsidP="00DB56A2">
            <w:pPr>
              <w:ind w:left="-10"/>
              <w:jc w:val="center"/>
              <w:rPr>
                <w:rFonts w:ascii="Arial" w:hAnsi="Arial" w:cs="Arial"/>
                <w:b/>
                <w:bCs/>
                <w:color w:val="000000"/>
                <w:sz w:val="18"/>
                <w:szCs w:val="18"/>
              </w:rPr>
            </w:pPr>
            <w:r>
              <w:rPr>
                <w:rFonts w:ascii="Arial" w:hAnsi="Arial" w:cs="Arial"/>
                <w:b/>
                <w:bCs/>
                <w:color w:val="000000"/>
                <w:sz w:val="18"/>
                <w:szCs w:val="18"/>
              </w:rPr>
              <w:t>100</w:t>
            </w:r>
          </w:p>
        </w:tc>
      </w:tr>
      <w:tr w:rsidR="005F09D5" w:rsidRPr="00AB6725" w14:paraId="0BB49945" w14:textId="77777777" w:rsidTr="00D3127B">
        <w:trPr>
          <w:trHeight w:val="554"/>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FC997CD" w14:textId="587AD949" w:rsidR="00BB1EA5" w:rsidRPr="00AB6725" w:rsidRDefault="00DB56A2" w:rsidP="00F316E4">
            <w:pPr>
              <w:ind w:left="131" w:right="124"/>
              <w:jc w:val="both"/>
              <w:rPr>
                <w:rFonts w:ascii="Arial" w:hAnsi="Arial" w:cs="Arial"/>
                <w:color w:val="000000"/>
                <w:sz w:val="18"/>
                <w:szCs w:val="18"/>
              </w:rPr>
            </w:pPr>
            <w:r w:rsidRPr="00DB56A2">
              <w:rPr>
                <w:rFonts w:ascii="Arial" w:hAnsi="Arial" w:cs="Arial"/>
                <w:color w:val="000000"/>
                <w:sz w:val="18"/>
                <w:szCs w:val="18"/>
              </w:rPr>
              <w:t>Operativos de intervención a rutas críticas de espacio público con publicidad exterior visual de manera ilegal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D154A9" w14:textId="7BEEB456" w:rsidR="00BB1EA5" w:rsidRPr="00AB6725" w:rsidRDefault="00DB56A2" w:rsidP="00F316E4">
            <w:pPr>
              <w:ind w:left="-20"/>
              <w:jc w:val="center"/>
              <w:rPr>
                <w:rFonts w:ascii="Arial" w:hAnsi="Arial" w:cs="Arial"/>
                <w:color w:val="000000"/>
                <w:sz w:val="18"/>
                <w:szCs w:val="18"/>
              </w:rPr>
            </w:pPr>
            <w:r>
              <w:rPr>
                <w:rFonts w:ascii="Arial" w:hAnsi="Arial" w:cs="Arial"/>
                <w:color w:val="000000"/>
                <w:sz w:val="18"/>
                <w:szCs w:val="18"/>
              </w:rPr>
              <w:t>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A9B248" w14:textId="0F8939E3" w:rsidR="00BB1EA5" w:rsidRPr="00AB6725" w:rsidRDefault="00DB56A2" w:rsidP="00F316E4">
            <w:pPr>
              <w:ind w:left="-17"/>
              <w:jc w:val="center"/>
              <w:rPr>
                <w:rFonts w:ascii="Arial" w:hAnsi="Arial" w:cs="Arial"/>
                <w:color w:val="000000"/>
                <w:sz w:val="18"/>
                <w:szCs w:val="18"/>
              </w:rPr>
            </w:pPr>
            <w:r>
              <w:rPr>
                <w:rFonts w:ascii="Arial" w:hAnsi="Arial" w:cs="Arial"/>
                <w:color w:val="000000"/>
                <w:sz w:val="18"/>
                <w:szCs w:val="18"/>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9295AA9" w14:textId="1E7E69A5" w:rsidR="00BB1EA5" w:rsidRPr="00AB6725" w:rsidRDefault="00DB56A2" w:rsidP="00F316E4">
            <w:pPr>
              <w:ind w:right="-16"/>
              <w:jc w:val="center"/>
              <w:rPr>
                <w:rFonts w:ascii="Arial" w:hAnsi="Arial" w:cs="Arial"/>
                <w:color w:val="000000"/>
                <w:sz w:val="18"/>
                <w:szCs w:val="18"/>
              </w:rPr>
            </w:pPr>
            <w:r>
              <w:rPr>
                <w:rFonts w:ascii="Arial" w:hAnsi="Arial" w:cs="Arial"/>
                <w:color w:val="000000"/>
                <w:sz w:val="18"/>
                <w:szCs w:val="18"/>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287CB73" w14:textId="72A7B0E9"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76</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0E94F49D" w14:textId="263ACFE9"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378EBDA" w14:textId="3946DB76" w:rsidR="00BB1EA5" w:rsidRPr="00AB6725" w:rsidRDefault="00DB56A2" w:rsidP="00F316E4">
            <w:pPr>
              <w:jc w:val="center"/>
              <w:rPr>
                <w:rFonts w:ascii="Arial" w:hAnsi="Arial" w:cs="Arial"/>
                <w:color w:val="000000"/>
                <w:sz w:val="18"/>
                <w:szCs w:val="18"/>
              </w:rPr>
            </w:pPr>
            <w:r>
              <w:rPr>
                <w:rFonts w:ascii="Arial" w:hAnsi="Arial" w:cs="Arial"/>
                <w:color w:val="000000"/>
                <w:sz w:val="18"/>
                <w:szCs w:val="18"/>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FCC23E" w14:textId="6E5E1216" w:rsidR="00BB1EA5" w:rsidRPr="00AB6725" w:rsidRDefault="00DB56A2" w:rsidP="00F316E4">
            <w:pPr>
              <w:ind w:left="-10"/>
              <w:jc w:val="center"/>
              <w:rPr>
                <w:rFonts w:ascii="Arial" w:hAnsi="Arial" w:cs="Arial"/>
                <w:b/>
                <w:bCs/>
                <w:color w:val="000000"/>
                <w:sz w:val="18"/>
                <w:szCs w:val="18"/>
              </w:rPr>
            </w:pPr>
            <w:r>
              <w:rPr>
                <w:rFonts w:ascii="Arial" w:hAnsi="Arial" w:cs="Arial"/>
                <w:b/>
                <w:bCs/>
                <w:color w:val="000000"/>
                <w:sz w:val="18"/>
                <w:szCs w:val="18"/>
              </w:rPr>
              <w:t>44</w:t>
            </w:r>
          </w:p>
        </w:tc>
      </w:tr>
      <w:tr w:rsidR="005F09D5" w:rsidRPr="00AB6725" w14:paraId="65B38FC2" w14:textId="77777777" w:rsidTr="00D3127B">
        <w:trPr>
          <w:trHeight w:val="594"/>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A68B041" w14:textId="0F5F7ACD" w:rsidR="00BB1EA5" w:rsidRPr="00AB6725" w:rsidRDefault="00DB56A2" w:rsidP="00F316E4">
            <w:pPr>
              <w:ind w:left="131" w:right="124"/>
              <w:jc w:val="both"/>
              <w:rPr>
                <w:rFonts w:ascii="Arial" w:hAnsi="Arial" w:cs="Arial"/>
                <w:color w:val="000000"/>
                <w:sz w:val="18"/>
                <w:szCs w:val="18"/>
              </w:rPr>
            </w:pPr>
            <w:r w:rsidRPr="00DB56A2">
              <w:rPr>
                <w:rFonts w:ascii="Arial" w:hAnsi="Arial" w:cs="Arial"/>
                <w:color w:val="000000"/>
                <w:sz w:val="18"/>
                <w:szCs w:val="18"/>
              </w:rPr>
              <w:t>Actuaciones de control, evaluación y seguimiento ambiental a establecimientos que realizan aprovechamiento de los recursos de fauna y flora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3E6C55" w14:textId="5CF6CDAF" w:rsidR="00BB1EA5" w:rsidRPr="00AB6725" w:rsidRDefault="00DB56A2" w:rsidP="00F316E4">
            <w:pPr>
              <w:ind w:left="-20"/>
              <w:jc w:val="center"/>
              <w:rPr>
                <w:rFonts w:ascii="Arial" w:hAnsi="Arial" w:cs="Arial"/>
                <w:color w:val="000000"/>
                <w:sz w:val="18"/>
                <w:szCs w:val="18"/>
              </w:rPr>
            </w:pPr>
            <w:r>
              <w:rPr>
                <w:rFonts w:ascii="Arial" w:hAnsi="Arial" w:cs="Arial"/>
                <w:color w:val="000000"/>
                <w:sz w:val="18"/>
                <w:szCs w:val="18"/>
              </w:rPr>
              <w:t>4100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ECEADA1" w14:textId="033D89CB" w:rsidR="00BB1EA5" w:rsidRPr="00AB6725" w:rsidRDefault="00DB56A2" w:rsidP="00F316E4">
            <w:pPr>
              <w:ind w:left="-17"/>
              <w:jc w:val="center"/>
              <w:rPr>
                <w:rFonts w:ascii="Arial" w:hAnsi="Arial" w:cs="Arial"/>
                <w:color w:val="000000"/>
                <w:sz w:val="18"/>
                <w:szCs w:val="18"/>
              </w:rPr>
            </w:pPr>
            <w:r>
              <w:rPr>
                <w:rFonts w:ascii="Arial" w:hAnsi="Arial" w:cs="Arial"/>
                <w:color w:val="000000"/>
                <w:sz w:val="18"/>
                <w:szCs w:val="18"/>
              </w:rPr>
              <w:t>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E7CE88" w14:textId="6ADBF4B4" w:rsidR="00BB1EA5" w:rsidRPr="00AB6725" w:rsidRDefault="00DB56A2" w:rsidP="00F316E4">
            <w:pPr>
              <w:ind w:right="-16"/>
              <w:jc w:val="center"/>
              <w:rPr>
                <w:rFonts w:ascii="Arial" w:hAnsi="Arial" w:cs="Arial"/>
                <w:color w:val="000000"/>
                <w:sz w:val="18"/>
                <w:szCs w:val="18"/>
              </w:rPr>
            </w:pPr>
            <w:r>
              <w:rPr>
                <w:rFonts w:ascii="Arial" w:hAnsi="Arial" w:cs="Arial"/>
                <w:color w:val="000000"/>
                <w:sz w:val="18"/>
                <w:szCs w:val="18"/>
              </w:rPr>
              <w:t>663</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5CEB1776" w14:textId="134793EF"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95</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41F004D3" w14:textId="3C02E9A7"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FF5EF44" w14:textId="56CA7D7D" w:rsidR="00BB1EA5" w:rsidRPr="00AB6725" w:rsidRDefault="00DB56A2" w:rsidP="00F316E4">
            <w:pPr>
              <w:jc w:val="center"/>
              <w:rPr>
                <w:rFonts w:ascii="Arial" w:hAnsi="Arial" w:cs="Arial"/>
                <w:color w:val="000000"/>
                <w:sz w:val="18"/>
                <w:szCs w:val="18"/>
              </w:rPr>
            </w:pPr>
            <w:r>
              <w:rPr>
                <w:rFonts w:ascii="Arial" w:hAnsi="Arial" w:cs="Arial"/>
                <w:color w:val="000000"/>
                <w:sz w:val="18"/>
                <w:szCs w:val="18"/>
              </w:rPr>
              <w:t>663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8E8CAAA" w14:textId="313D0BBD" w:rsidR="00BB1EA5" w:rsidRPr="00AB6725" w:rsidRDefault="00DB56A2" w:rsidP="00F316E4">
            <w:pPr>
              <w:ind w:left="-10"/>
              <w:jc w:val="center"/>
              <w:rPr>
                <w:rFonts w:ascii="Arial" w:hAnsi="Arial" w:cs="Arial"/>
                <w:b/>
                <w:bCs/>
                <w:color w:val="000000"/>
                <w:sz w:val="18"/>
                <w:szCs w:val="18"/>
              </w:rPr>
            </w:pPr>
            <w:r>
              <w:rPr>
                <w:rFonts w:ascii="Arial" w:hAnsi="Arial" w:cs="Arial"/>
                <w:b/>
                <w:bCs/>
                <w:color w:val="000000"/>
                <w:sz w:val="18"/>
                <w:szCs w:val="18"/>
              </w:rPr>
              <w:t>16</w:t>
            </w:r>
          </w:p>
        </w:tc>
      </w:tr>
      <w:tr w:rsidR="005F09D5" w:rsidRPr="00AB6725" w14:paraId="5F6D7C4D" w14:textId="77777777" w:rsidTr="00D3127B">
        <w:trPr>
          <w:trHeight w:val="545"/>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49EE191" w14:textId="53689759" w:rsidR="00BB1EA5" w:rsidRPr="00AB6725" w:rsidRDefault="00DB56A2" w:rsidP="00F316E4">
            <w:pPr>
              <w:ind w:left="131" w:right="124"/>
              <w:jc w:val="both"/>
              <w:rPr>
                <w:rFonts w:ascii="Arial" w:hAnsi="Arial" w:cs="Arial"/>
                <w:color w:val="000000"/>
                <w:sz w:val="18"/>
                <w:szCs w:val="18"/>
              </w:rPr>
            </w:pPr>
            <w:r w:rsidRPr="00DB56A2">
              <w:rPr>
                <w:rFonts w:ascii="Arial" w:hAnsi="Arial" w:cs="Arial"/>
                <w:color w:val="000000"/>
                <w:sz w:val="18"/>
                <w:szCs w:val="18"/>
              </w:rPr>
              <w:t>Gestión Preventiva en materia Disciplinaria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E403438" w14:textId="6E830F5E" w:rsidR="00BB1EA5" w:rsidRPr="00AB6725" w:rsidRDefault="00DB56A2" w:rsidP="00F316E4">
            <w:pPr>
              <w:ind w:left="-20"/>
              <w:jc w:val="center"/>
              <w:rPr>
                <w:rFonts w:ascii="Arial" w:hAnsi="Arial" w:cs="Arial"/>
                <w:color w:val="000000"/>
                <w:sz w:val="18"/>
                <w:szCs w:val="18"/>
              </w:rPr>
            </w:pPr>
            <w:r>
              <w:rPr>
                <w:rFonts w:ascii="Arial" w:hAnsi="Arial" w:cs="Arial"/>
                <w:color w:val="000000"/>
                <w:sz w:val="18"/>
                <w:szCs w:val="1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0201932" w14:textId="34F1786B" w:rsidR="00BB1EA5" w:rsidRPr="00AB6725" w:rsidRDefault="00DB56A2" w:rsidP="00F316E4">
            <w:pPr>
              <w:jc w:val="center"/>
              <w:rPr>
                <w:rFonts w:ascii="Arial" w:hAnsi="Arial" w:cs="Arial"/>
                <w:color w:val="000000"/>
                <w:sz w:val="18"/>
                <w:szCs w:val="18"/>
              </w:rPr>
            </w:pPr>
            <w:r>
              <w:rPr>
                <w:rFonts w:ascii="Arial" w:hAnsi="Arial" w:cs="Arial"/>
                <w:color w:val="000000"/>
                <w:sz w:val="18"/>
                <w:szCs w:val="1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734644" w14:textId="2EA570AC" w:rsidR="00BB1EA5" w:rsidRPr="00AB6725" w:rsidRDefault="00DB56A2" w:rsidP="00F316E4">
            <w:pPr>
              <w:ind w:left="-15" w:right="-16"/>
              <w:jc w:val="center"/>
              <w:rPr>
                <w:rFonts w:ascii="Arial" w:hAnsi="Arial" w:cs="Arial"/>
                <w:color w:val="000000"/>
                <w:sz w:val="18"/>
                <w:szCs w:val="18"/>
              </w:rPr>
            </w:pPr>
            <w:r>
              <w:rPr>
                <w:rFonts w:ascii="Arial" w:hAnsi="Arial" w:cs="Arial"/>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735B73E5" w14:textId="1BE03B1F"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167A0630" w14:textId="0448D66D" w:rsidR="00BB1EA5" w:rsidRPr="00AB6725" w:rsidRDefault="00DB56A2" w:rsidP="00F316E4">
            <w:pPr>
              <w:jc w:val="center"/>
              <w:rPr>
                <w:rFonts w:ascii="Arial" w:hAnsi="Arial" w:cs="Arial"/>
                <w:b/>
                <w:bCs/>
                <w:color w:val="000000"/>
                <w:sz w:val="18"/>
                <w:szCs w:val="18"/>
              </w:rPr>
            </w:pPr>
            <w:r>
              <w:rPr>
                <w:rFonts w:ascii="Arial" w:hAnsi="Arial" w:cs="Arial"/>
                <w:b/>
                <w:bCs/>
                <w:color w:val="000000"/>
                <w:sz w:val="18"/>
                <w:szCs w:val="18"/>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4C2BCA" w14:textId="7956D5FB" w:rsidR="00BB1EA5" w:rsidRPr="00AB6725" w:rsidRDefault="00DB56A2" w:rsidP="00F316E4">
            <w:pPr>
              <w:ind w:left="-63" w:right="-15"/>
              <w:jc w:val="center"/>
              <w:rPr>
                <w:rFonts w:ascii="Arial" w:hAnsi="Arial" w:cs="Arial"/>
                <w:color w:val="000000"/>
                <w:sz w:val="18"/>
                <w:szCs w:val="18"/>
              </w:rPr>
            </w:pPr>
            <w:r>
              <w:rPr>
                <w:rFonts w:ascii="Arial" w:hAnsi="Arial" w:cs="Arial"/>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F38C1BF" w14:textId="135BFBD7" w:rsidR="00BB1EA5" w:rsidRPr="00AB6725" w:rsidRDefault="00DB56A2" w:rsidP="00F316E4">
            <w:pPr>
              <w:ind w:left="-10"/>
              <w:jc w:val="center"/>
              <w:rPr>
                <w:rFonts w:ascii="Arial" w:hAnsi="Arial" w:cs="Arial"/>
                <w:b/>
                <w:bCs/>
                <w:color w:val="000000"/>
                <w:sz w:val="18"/>
                <w:szCs w:val="18"/>
              </w:rPr>
            </w:pPr>
            <w:r>
              <w:rPr>
                <w:rFonts w:ascii="Arial" w:hAnsi="Arial" w:cs="Arial"/>
                <w:b/>
                <w:bCs/>
                <w:color w:val="000000"/>
                <w:sz w:val="18"/>
                <w:szCs w:val="18"/>
              </w:rPr>
              <w:t>33</w:t>
            </w:r>
          </w:p>
        </w:tc>
      </w:tr>
      <w:tr w:rsidR="00DB56A2" w:rsidRPr="00AB6725" w14:paraId="6AC48251" w14:textId="77777777" w:rsidTr="00D3127B">
        <w:trPr>
          <w:trHeight w:val="680"/>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6466D7E" w14:textId="4BAD1F35" w:rsidR="00DB56A2" w:rsidRPr="00AB6725" w:rsidRDefault="00DB56A2" w:rsidP="00DB56A2">
            <w:pPr>
              <w:ind w:left="131" w:right="124"/>
              <w:jc w:val="both"/>
              <w:rPr>
                <w:rFonts w:ascii="Arial" w:hAnsi="Arial" w:cs="Arial"/>
                <w:color w:val="000000"/>
                <w:sz w:val="18"/>
                <w:szCs w:val="18"/>
              </w:rPr>
            </w:pPr>
            <w:r w:rsidRPr="00DB56A2">
              <w:rPr>
                <w:rFonts w:ascii="Arial" w:hAnsi="Arial" w:cs="Arial"/>
                <w:color w:val="000000"/>
                <w:sz w:val="18"/>
                <w:szCs w:val="18"/>
              </w:rPr>
              <w:t>Favorabil</w:t>
            </w:r>
            <w:r>
              <w:rPr>
                <w:rFonts w:ascii="Arial" w:hAnsi="Arial" w:cs="Arial"/>
                <w:color w:val="000000"/>
                <w:sz w:val="18"/>
                <w:szCs w:val="18"/>
              </w:rPr>
              <w:t>idad de la imagen de la entidad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E3343E" w14:textId="4B930D91" w:rsidR="00DB56A2" w:rsidRPr="00AB6725" w:rsidRDefault="00DB56A2" w:rsidP="00DB56A2">
            <w:pPr>
              <w:ind w:left="-20"/>
              <w:jc w:val="center"/>
              <w:rPr>
                <w:rFonts w:ascii="Arial" w:hAnsi="Arial" w:cs="Arial"/>
                <w:color w:val="000000"/>
                <w:sz w:val="18"/>
                <w:szCs w:val="18"/>
              </w:rPr>
            </w:pPr>
            <w:r>
              <w:rPr>
                <w:rFonts w:ascii="Arial" w:hAnsi="Arial" w:cs="Arial"/>
                <w:color w:val="000000"/>
                <w:sz w:val="18"/>
                <w:szCs w:val="18"/>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5581493" w14:textId="3ACBB5BF" w:rsidR="00DB56A2" w:rsidRPr="00AB6725" w:rsidRDefault="00DB56A2" w:rsidP="00DB56A2">
            <w:pPr>
              <w:ind w:left="-17"/>
              <w:jc w:val="center"/>
              <w:rPr>
                <w:rFonts w:ascii="Arial" w:hAnsi="Arial" w:cs="Arial"/>
                <w:color w:val="000000"/>
                <w:sz w:val="18"/>
                <w:szCs w:val="18"/>
              </w:rPr>
            </w:pPr>
            <w:r w:rsidRPr="005D1D89">
              <w:rPr>
                <w:rFonts w:ascii="Arial" w:hAnsi="Arial" w:cs="Arial"/>
                <w:color w:val="000000"/>
                <w:sz w:val="18"/>
                <w:szCs w:val="18"/>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F1A3460" w14:textId="340836EE" w:rsidR="00DB56A2" w:rsidRPr="00AB6725" w:rsidRDefault="00DB56A2" w:rsidP="00DB56A2">
            <w:pPr>
              <w:ind w:right="-16"/>
              <w:jc w:val="center"/>
              <w:rPr>
                <w:rFonts w:ascii="Arial" w:hAnsi="Arial" w:cs="Arial"/>
                <w:color w:val="000000"/>
                <w:sz w:val="18"/>
                <w:szCs w:val="18"/>
              </w:rPr>
            </w:pPr>
            <w:r w:rsidRPr="005D1D89">
              <w:rPr>
                <w:rFonts w:ascii="Arial" w:hAnsi="Arial" w:cs="Arial"/>
                <w:color w:val="000000"/>
                <w:sz w:val="18"/>
                <w:szCs w:val="18"/>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2B583313" w14:textId="6C83E5CF" w:rsidR="00DB56A2" w:rsidRPr="00AB6725" w:rsidRDefault="00DB56A2" w:rsidP="00DB56A2">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71AC1E77" w14:textId="1B1429D1" w:rsidR="00DB56A2" w:rsidRPr="00AB6725" w:rsidRDefault="00DB56A2" w:rsidP="00DB56A2">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19AEC4" w14:textId="7EA60684" w:rsidR="00DB56A2" w:rsidRPr="00AB6725" w:rsidRDefault="00844E71" w:rsidP="00DB56A2">
            <w:pPr>
              <w:jc w:val="center"/>
              <w:rPr>
                <w:rFonts w:ascii="Arial" w:hAnsi="Arial" w:cs="Arial"/>
                <w:color w:val="000000"/>
                <w:sz w:val="18"/>
                <w:szCs w:val="18"/>
              </w:rPr>
            </w:pPr>
            <w:r>
              <w:rPr>
                <w:rFonts w:ascii="Arial" w:hAnsi="Arial" w:cs="Arial"/>
                <w:color w:val="000000"/>
                <w:sz w:val="18"/>
                <w:szCs w:val="18"/>
              </w:rPr>
              <w:t>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B529901" w14:textId="4254E91E" w:rsidR="00DB56A2" w:rsidRPr="00AB6725" w:rsidRDefault="00844E71" w:rsidP="00DB56A2">
            <w:pPr>
              <w:ind w:left="-10"/>
              <w:jc w:val="center"/>
              <w:rPr>
                <w:rFonts w:ascii="Arial" w:hAnsi="Arial" w:cs="Arial"/>
                <w:b/>
                <w:bCs/>
                <w:color w:val="000000"/>
                <w:sz w:val="18"/>
                <w:szCs w:val="18"/>
              </w:rPr>
            </w:pPr>
            <w:r>
              <w:rPr>
                <w:rFonts w:ascii="Arial" w:hAnsi="Arial" w:cs="Arial"/>
                <w:b/>
                <w:bCs/>
                <w:color w:val="000000"/>
                <w:sz w:val="18"/>
                <w:szCs w:val="18"/>
              </w:rPr>
              <w:t>100</w:t>
            </w:r>
          </w:p>
        </w:tc>
      </w:tr>
      <w:tr w:rsidR="005F09D5" w:rsidRPr="00AB6725" w14:paraId="156FD190" w14:textId="77777777" w:rsidTr="00D3127B">
        <w:trPr>
          <w:trHeight w:val="256"/>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FC85E28" w14:textId="758530FD" w:rsidR="00BB1EA5" w:rsidRPr="00AB6725" w:rsidRDefault="00844E71" w:rsidP="00F316E4">
            <w:pPr>
              <w:ind w:left="131" w:right="124"/>
              <w:jc w:val="both"/>
              <w:rPr>
                <w:rFonts w:ascii="Arial" w:hAnsi="Arial" w:cs="Arial"/>
                <w:color w:val="000000"/>
                <w:sz w:val="18"/>
                <w:szCs w:val="18"/>
              </w:rPr>
            </w:pPr>
            <w:r w:rsidRPr="00844E71">
              <w:rPr>
                <w:rFonts w:ascii="Arial" w:hAnsi="Arial" w:cs="Arial"/>
                <w:color w:val="000000"/>
                <w:sz w:val="18"/>
                <w:szCs w:val="18"/>
              </w:rPr>
              <w:t>Disponibilidad de los servicios de tecnologías de la información 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4D0DA42" w14:textId="11B54B5B" w:rsidR="00BB1EA5" w:rsidRPr="00AB6725" w:rsidRDefault="00844E71" w:rsidP="00F316E4">
            <w:pPr>
              <w:ind w:left="-20"/>
              <w:jc w:val="center"/>
              <w:rPr>
                <w:rFonts w:ascii="Arial" w:hAnsi="Arial" w:cs="Arial"/>
                <w:color w:val="000000"/>
                <w:sz w:val="18"/>
                <w:szCs w:val="18"/>
              </w:rPr>
            </w:pPr>
            <w:r>
              <w:rPr>
                <w:rFonts w:ascii="Arial" w:hAnsi="Arial" w:cs="Arial"/>
                <w:color w:val="000000"/>
                <w:sz w:val="18"/>
                <w:szCs w:val="18"/>
              </w:rPr>
              <w:t>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B51D285" w14:textId="731895D5" w:rsidR="00BB1EA5" w:rsidRPr="00AB6725" w:rsidRDefault="00844E71" w:rsidP="00F316E4">
            <w:pPr>
              <w:ind w:left="-17"/>
              <w:jc w:val="center"/>
              <w:rPr>
                <w:rFonts w:ascii="Arial" w:hAnsi="Arial" w:cs="Arial"/>
                <w:color w:val="000000"/>
                <w:sz w:val="18"/>
                <w:szCs w:val="18"/>
              </w:rPr>
            </w:pPr>
            <w:r>
              <w:rPr>
                <w:rFonts w:ascii="Arial" w:hAnsi="Arial" w:cs="Arial"/>
                <w:color w:val="000000"/>
                <w:sz w:val="18"/>
                <w:szCs w:val="18"/>
              </w:rPr>
              <w:t>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060929" w14:textId="1138F9ED" w:rsidR="00BB1EA5" w:rsidRPr="00AB6725" w:rsidRDefault="00844E71" w:rsidP="00F316E4">
            <w:pPr>
              <w:ind w:right="-16"/>
              <w:jc w:val="center"/>
              <w:rPr>
                <w:rFonts w:ascii="Arial" w:hAnsi="Arial" w:cs="Arial"/>
                <w:color w:val="000000"/>
                <w:sz w:val="18"/>
                <w:szCs w:val="18"/>
              </w:rPr>
            </w:pPr>
            <w:r>
              <w:rPr>
                <w:rFonts w:ascii="Arial" w:hAnsi="Arial" w:cs="Arial"/>
                <w:color w:val="000000"/>
                <w:sz w:val="18"/>
                <w:szCs w:val="18"/>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B9A69B8" w14:textId="51D8C227" w:rsidR="00BB1EA5" w:rsidRPr="00AB6725" w:rsidRDefault="00844E71"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1DD6B38E" w14:textId="039D2FD5" w:rsidR="00BB1EA5" w:rsidRPr="00AB6725" w:rsidRDefault="00844E71"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B2FDDD" w14:textId="4040B3CE" w:rsidR="00BB1EA5" w:rsidRPr="00AB6725" w:rsidRDefault="00844E71" w:rsidP="00F316E4">
            <w:pPr>
              <w:jc w:val="center"/>
              <w:rPr>
                <w:rFonts w:ascii="Arial" w:hAnsi="Arial" w:cs="Arial"/>
                <w:color w:val="000000"/>
                <w:sz w:val="18"/>
                <w:szCs w:val="18"/>
              </w:rPr>
            </w:pPr>
            <w:r>
              <w:rPr>
                <w:rFonts w:ascii="Arial" w:hAnsi="Arial" w:cs="Arial"/>
                <w:color w:val="000000"/>
                <w:sz w:val="18"/>
                <w:szCs w:val="18"/>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C1F8B9" w14:textId="0D3EACDF" w:rsidR="00BB1EA5" w:rsidRPr="00AB6725" w:rsidRDefault="00844E71" w:rsidP="00F316E4">
            <w:pPr>
              <w:ind w:left="-10"/>
              <w:jc w:val="center"/>
              <w:rPr>
                <w:rFonts w:ascii="Arial" w:hAnsi="Arial" w:cs="Arial"/>
                <w:b/>
                <w:bCs/>
                <w:color w:val="000000"/>
                <w:sz w:val="18"/>
                <w:szCs w:val="18"/>
              </w:rPr>
            </w:pPr>
            <w:r>
              <w:rPr>
                <w:rFonts w:ascii="Arial" w:hAnsi="Arial" w:cs="Arial"/>
                <w:b/>
                <w:bCs/>
                <w:color w:val="000000"/>
                <w:sz w:val="18"/>
                <w:szCs w:val="18"/>
              </w:rPr>
              <w:t>100</w:t>
            </w:r>
          </w:p>
        </w:tc>
      </w:tr>
      <w:tr w:rsidR="00844E71" w:rsidRPr="00AB6725" w14:paraId="59656BB1" w14:textId="77777777" w:rsidTr="00D3127B">
        <w:trPr>
          <w:trHeight w:val="256"/>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C73AA1" w14:textId="79EA7F15" w:rsidR="00844E71" w:rsidRPr="00AB6725" w:rsidRDefault="00844E71" w:rsidP="00844E71">
            <w:pPr>
              <w:ind w:left="131" w:right="124"/>
              <w:jc w:val="both"/>
              <w:rPr>
                <w:rFonts w:ascii="Arial" w:hAnsi="Arial" w:cs="Arial"/>
                <w:color w:val="000000"/>
                <w:sz w:val="18"/>
                <w:szCs w:val="18"/>
              </w:rPr>
            </w:pPr>
            <w:r w:rsidRPr="00844E71">
              <w:rPr>
                <w:rFonts w:ascii="Arial" w:hAnsi="Arial" w:cs="Arial"/>
                <w:color w:val="000000"/>
                <w:sz w:val="18"/>
                <w:szCs w:val="18"/>
              </w:rPr>
              <w:t>Gestión de incidentes y Accidentes de Trabajo en la SDA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2130F7" w14:textId="341A3C52" w:rsidR="00844E71" w:rsidRPr="00AB6725" w:rsidRDefault="00844E71" w:rsidP="00844E71">
            <w:pPr>
              <w:ind w:left="-20"/>
              <w:jc w:val="center"/>
              <w:rPr>
                <w:rFonts w:ascii="Arial" w:hAnsi="Arial" w:cs="Arial"/>
                <w:color w:val="000000"/>
                <w:sz w:val="18"/>
                <w:szCs w:val="18"/>
              </w:rPr>
            </w:pPr>
            <w:r>
              <w:rPr>
                <w:rFonts w:ascii="Arial" w:hAnsi="Arial" w:cs="Arial"/>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76064F3" w14:textId="36521213" w:rsidR="00844E71" w:rsidRPr="00AB6725" w:rsidRDefault="00844E71" w:rsidP="00844E71">
            <w:pPr>
              <w:ind w:left="-17"/>
              <w:jc w:val="center"/>
              <w:rPr>
                <w:rFonts w:ascii="Arial" w:hAnsi="Arial" w:cs="Arial"/>
                <w:color w:val="000000"/>
                <w:sz w:val="18"/>
                <w:szCs w:val="18"/>
              </w:rPr>
            </w:pPr>
            <w:r w:rsidRPr="00CA6C48">
              <w:rPr>
                <w:rFonts w:ascii="Arial" w:hAnsi="Arial" w:cs="Arial"/>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80D835C" w14:textId="058C3CF8" w:rsidR="00844E71" w:rsidRPr="00AB6725" w:rsidRDefault="00844E71" w:rsidP="00844E71">
            <w:pPr>
              <w:ind w:right="-16"/>
              <w:jc w:val="center"/>
              <w:rPr>
                <w:rFonts w:ascii="Arial" w:hAnsi="Arial" w:cs="Arial"/>
                <w:color w:val="000000"/>
                <w:sz w:val="18"/>
                <w:szCs w:val="18"/>
              </w:rPr>
            </w:pPr>
            <w:r w:rsidRPr="00CA6C48">
              <w:rPr>
                <w:rFonts w:ascii="Arial" w:hAnsi="Arial" w:cs="Arial"/>
                <w:color w:val="000000"/>
                <w:sz w:val="18"/>
                <w:szCs w:val="18"/>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9754C64" w14:textId="700BB64E" w:rsidR="00844E71" w:rsidRPr="00AB6725" w:rsidRDefault="00844E71" w:rsidP="00844E71">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54008EB7" w14:textId="0C5DC1BB" w:rsidR="00844E71" w:rsidRPr="00AB6725" w:rsidRDefault="00844E71" w:rsidP="00844E71">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46FDC05" w14:textId="03DDCBEC" w:rsidR="00844E71" w:rsidRPr="00AB6725" w:rsidRDefault="00844E71" w:rsidP="00844E71">
            <w:pPr>
              <w:jc w:val="center"/>
              <w:rPr>
                <w:rFonts w:ascii="Arial" w:hAnsi="Arial" w:cs="Arial"/>
                <w:color w:val="000000"/>
                <w:sz w:val="18"/>
                <w:szCs w:val="18"/>
              </w:rPr>
            </w:pPr>
            <w:r>
              <w:rPr>
                <w:rFonts w:ascii="Arial" w:hAnsi="Arial" w:cs="Arial"/>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5887FA" w14:textId="0FD39758" w:rsidR="00844E71" w:rsidRPr="00AB6725" w:rsidRDefault="00844E71" w:rsidP="00844E71">
            <w:pPr>
              <w:ind w:left="-10"/>
              <w:jc w:val="center"/>
              <w:rPr>
                <w:rFonts w:ascii="Arial" w:hAnsi="Arial" w:cs="Arial"/>
                <w:b/>
                <w:bCs/>
                <w:color w:val="000000"/>
                <w:sz w:val="18"/>
                <w:szCs w:val="18"/>
              </w:rPr>
            </w:pPr>
            <w:r>
              <w:rPr>
                <w:rFonts w:ascii="Arial" w:hAnsi="Arial" w:cs="Arial"/>
                <w:b/>
                <w:bCs/>
                <w:color w:val="000000"/>
                <w:sz w:val="18"/>
                <w:szCs w:val="18"/>
              </w:rPr>
              <w:t>100</w:t>
            </w:r>
          </w:p>
        </w:tc>
      </w:tr>
      <w:tr w:rsidR="005F09D5" w:rsidRPr="00AB6725" w14:paraId="536C132C" w14:textId="77777777" w:rsidTr="00D3127B">
        <w:trPr>
          <w:trHeight w:val="424"/>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E15865" w14:textId="0F328315" w:rsidR="00BB1EA5" w:rsidRPr="00AB6725" w:rsidRDefault="00844E71" w:rsidP="00F316E4">
            <w:pPr>
              <w:ind w:left="131" w:right="124"/>
              <w:jc w:val="both"/>
              <w:rPr>
                <w:rFonts w:ascii="Arial" w:hAnsi="Arial" w:cs="Arial"/>
                <w:color w:val="000000"/>
                <w:sz w:val="18"/>
                <w:szCs w:val="18"/>
              </w:rPr>
            </w:pPr>
            <w:r w:rsidRPr="00844E71">
              <w:rPr>
                <w:rFonts w:ascii="Arial" w:hAnsi="Arial" w:cs="Arial"/>
                <w:color w:val="000000"/>
                <w:sz w:val="18"/>
                <w:szCs w:val="18"/>
              </w:rPr>
              <w:t>Ausentismo en la SDA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08CE2B" w14:textId="1FDB7128" w:rsidR="00BB1EA5" w:rsidRPr="00AB6725" w:rsidRDefault="00844E71" w:rsidP="00F316E4">
            <w:pPr>
              <w:ind w:left="-20"/>
              <w:jc w:val="center"/>
              <w:rPr>
                <w:rFonts w:ascii="Arial" w:hAnsi="Arial" w:cs="Arial"/>
                <w:color w:val="000000"/>
                <w:sz w:val="18"/>
                <w:szCs w:val="18"/>
              </w:rPr>
            </w:pPr>
            <w:r>
              <w:rPr>
                <w:rFonts w:ascii="Arial" w:hAnsi="Arial" w:cs="Arial"/>
                <w:color w:val="000000"/>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EDA194A" w14:textId="4090CBAC" w:rsidR="00BB1EA5" w:rsidRPr="00AB6725" w:rsidRDefault="00844E71" w:rsidP="00F316E4">
            <w:pPr>
              <w:ind w:left="-17"/>
              <w:jc w:val="center"/>
              <w:rPr>
                <w:rFonts w:ascii="Arial" w:hAnsi="Arial" w:cs="Arial"/>
                <w:color w:val="000000"/>
                <w:sz w:val="18"/>
                <w:szCs w:val="18"/>
              </w:rPr>
            </w:pPr>
            <w:r>
              <w:rPr>
                <w:rFonts w:ascii="Arial" w:hAnsi="Arial" w:cs="Arial"/>
                <w:color w:val="000000"/>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0092BA4" w14:textId="0DE24B8C" w:rsidR="00BB1EA5" w:rsidRPr="00AB6725" w:rsidRDefault="00844E71" w:rsidP="00F316E4">
            <w:pPr>
              <w:ind w:right="-16"/>
              <w:jc w:val="center"/>
              <w:rPr>
                <w:rFonts w:ascii="Arial" w:hAnsi="Arial" w:cs="Arial"/>
                <w:color w:val="000000"/>
                <w:sz w:val="18"/>
                <w:szCs w:val="18"/>
              </w:rPr>
            </w:pPr>
            <w:r>
              <w:rPr>
                <w:rFonts w:ascii="Arial" w:hAnsi="Arial" w:cs="Arial"/>
                <w:color w:val="000000"/>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4ADBDA84" w14:textId="3D78E6F7" w:rsidR="00BB1EA5" w:rsidRPr="00AB6725" w:rsidRDefault="00844E71"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6F5ACCAC" w14:textId="624178E8" w:rsidR="00BB1EA5" w:rsidRPr="00AB6725" w:rsidRDefault="00844E71" w:rsidP="00F316E4">
            <w:pPr>
              <w:jc w:val="center"/>
              <w:rPr>
                <w:rFonts w:ascii="Arial" w:hAnsi="Arial" w:cs="Arial"/>
                <w:b/>
                <w:bCs/>
                <w:color w:val="000000"/>
                <w:sz w:val="18"/>
                <w:szCs w:val="18"/>
              </w:rPr>
            </w:pPr>
            <w:r>
              <w:rPr>
                <w:rFonts w:ascii="Arial" w:hAnsi="Arial" w:cs="Arial"/>
                <w:b/>
                <w:bCs/>
                <w:color w:val="000000"/>
                <w:sz w:val="18"/>
                <w:szCs w:val="1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96AD0B5" w14:textId="04C83AB2" w:rsidR="00BB1EA5" w:rsidRPr="00AB6725" w:rsidRDefault="00844E71" w:rsidP="00F316E4">
            <w:pPr>
              <w:jc w:val="center"/>
              <w:rPr>
                <w:rFonts w:ascii="Arial" w:hAnsi="Arial" w:cs="Arial"/>
                <w:color w:val="000000"/>
                <w:sz w:val="18"/>
                <w:szCs w:val="18"/>
              </w:rPr>
            </w:pPr>
            <w:r>
              <w:rPr>
                <w:rFonts w:ascii="Arial" w:hAnsi="Arial" w:cs="Arial"/>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1D56AB9" w14:textId="10806D0C" w:rsidR="00BB1EA5" w:rsidRPr="00AB6725" w:rsidRDefault="00844E71" w:rsidP="00F316E4">
            <w:pPr>
              <w:ind w:left="-10"/>
              <w:jc w:val="center"/>
              <w:rPr>
                <w:rFonts w:ascii="Arial" w:hAnsi="Arial" w:cs="Arial"/>
                <w:b/>
                <w:bCs/>
                <w:color w:val="000000"/>
                <w:sz w:val="18"/>
                <w:szCs w:val="18"/>
              </w:rPr>
            </w:pPr>
            <w:r>
              <w:rPr>
                <w:rFonts w:ascii="Arial" w:hAnsi="Arial" w:cs="Arial"/>
                <w:b/>
                <w:bCs/>
                <w:color w:val="000000"/>
                <w:sz w:val="18"/>
                <w:szCs w:val="18"/>
              </w:rPr>
              <w:t>100</w:t>
            </w:r>
          </w:p>
        </w:tc>
      </w:tr>
    </w:tbl>
    <w:p w14:paraId="6BC501E8" w14:textId="77777777" w:rsidR="002E44FD" w:rsidRDefault="002E44FD" w:rsidP="00BB1EA5">
      <w:pPr>
        <w:rPr>
          <w:rFonts w:ascii="Arial" w:hAnsi="Arial" w:cs="Arial"/>
          <w:b/>
          <w:sz w:val="20"/>
          <w:szCs w:val="20"/>
          <w:u w:val="single"/>
        </w:rPr>
      </w:pPr>
    </w:p>
    <w:p w14:paraId="3F1E9B2A" w14:textId="77777777" w:rsidR="002A0532" w:rsidRPr="002A0532" w:rsidRDefault="002A0532" w:rsidP="002A0532"/>
    <w:p w14:paraId="7FE717F7" w14:textId="497B224C" w:rsidR="00BB1EA5" w:rsidRDefault="00BB1EA5" w:rsidP="00CB2230">
      <w:pPr>
        <w:pStyle w:val="Ttulo2"/>
        <w:numPr>
          <w:ilvl w:val="1"/>
          <w:numId w:val="7"/>
        </w:numPr>
        <w:jc w:val="center"/>
      </w:pPr>
      <w:bookmarkStart w:id="6" w:name="_Toc41378116"/>
      <w:r w:rsidRPr="000C1EC5">
        <w:lastRenderedPageBreak/>
        <w:t>Indicadores en estado aceptable</w:t>
      </w:r>
      <w:bookmarkEnd w:id="6"/>
    </w:p>
    <w:p w14:paraId="5F8F5424" w14:textId="77777777" w:rsidR="00C6711A" w:rsidRPr="00C6711A" w:rsidRDefault="00C6711A" w:rsidP="00C6711A"/>
    <w:p w14:paraId="189BDB32" w14:textId="7F240F51" w:rsidR="00BB1EA5" w:rsidRDefault="00177F94" w:rsidP="00F8148B">
      <w:pPr>
        <w:jc w:val="both"/>
        <w:rPr>
          <w:rFonts w:ascii="Arial" w:hAnsi="Arial" w:cs="Arial"/>
          <w:sz w:val="20"/>
          <w:szCs w:val="20"/>
        </w:rPr>
      </w:pPr>
      <w:r w:rsidRPr="000C1EC5">
        <w:rPr>
          <w:rFonts w:ascii="Arial" w:hAnsi="Arial" w:cs="Arial"/>
          <w:sz w:val="20"/>
          <w:szCs w:val="20"/>
        </w:rPr>
        <w:t xml:space="preserve">Para este periodo existen </w:t>
      </w:r>
      <w:r w:rsidR="002A0532">
        <w:rPr>
          <w:rFonts w:ascii="Arial" w:hAnsi="Arial" w:cs="Arial"/>
          <w:sz w:val="20"/>
          <w:szCs w:val="20"/>
        </w:rPr>
        <w:t>tres (3</w:t>
      </w:r>
      <w:r w:rsidRPr="000C1EC5">
        <w:rPr>
          <w:rFonts w:ascii="Arial" w:hAnsi="Arial" w:cs="Arial"/>
          <w:sz w:val="20"/>
          <w:szCs w:val="20"/>
        </w:rPr>
        <w:t>) indicadores de gestión en</w:t>
      </w:r>
      <w:r w:rsidR="00BB1EA5" w:rsidRPr="000C1EC5">
        <w:rPr>
          <w:rFonts w:ascii="Arial" w:hAnsi="Arial" w:cs="Arial"/>
          <w:sz w:val="20"/>
          <w:szCs w:val="20"/>
        </w:rPr>
        <w:t xml:space="preserve"> estado aceptable entre el 55,01% y el 70% de ejecución en el avance de las actividades programadas para el periodo.</w:t>
      </w:r>
    </w:p>
    <w:p w14:paraId="36FB5D1D" w14:textId="77777777" w:rsidR="005F09D5" w:rsidRPr="000C1EC5" w:rsidRDefault="005F09D5" w:rsidP="00BB1EA5">
      <w:pPr>
        <w:rPr>
          <w:rFonts w:ascii="Arial" w:hAnsi="Arial" w:cs="Arial"/>
          <w:sz w:val="20"/>
          <w:szCs w:val="20"/>
        </w:rPr>
      </w:pPr>
    </w:p>
    <w:tbl>
      <w:tblPr>
        <w:tblW w:w="10915" w:type="dxa"/>
        <w:tblInd w:w="-1139" w:type="dxa"/>
        <w:tblLayout w:type="fixed"/>
        <w:tblCellMar>
          <w:left w:w="340" w:type="dxa"/>
          <w:right w:w="340" w:type="dxa"/>
        </w:tblCellMar>
        <w:tblLook w:val="0600" w:firstRow="0" w:lastRow="0" w:firstColumn="0" w:lastColumn="0" w:noHBand="1" w:noVBand="1"/>
      </w:tblPr>
      <w:tblGrid>
        <w:gridCol w:w="3119"/>
        <w:gridCol w:w="1276"/>
        <w:gridCol w:w="1559"/>
        <w:gridCol w:w="1417"/>
        <w:gridCol w:w="993"/>
        <w:gridCol w:w="992"/>
        <w:gridCol w:w="850"/>
        <w:gridCol w:w="709"/>
      </w:tblGrid>
      <w:tr w:rsidR="00177F94" w:rsidRPr="00AB6725" w14:paraId="346C15AC" w14:textId="77777777" w:rsidTr="002A74F3">
        <w:trPr>
          <w:trHeight w:val="305"/>
        </w:trPr>
        <w:tc>
          <w:tcPr>
            <w:tcW w:w="311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2E34D925" w14:textId="77777777" w:rsidR="00177F94" w:rsidRPr="002A74F3" w:rsidRDefault="00177F94" w:rsidP="002E44FD">
            <w:pPr>
              <w:jc w:val="center"/>
              <w:rPr>
                <w:rFonts w:ascii="Arial" w:hAnsi="Arial" w:cs="Arial"/>
                <w:sz w:val="16"/>
                <w:szCs w:val="18"/>
                <w:lang w:val="es-CO"/>
              </w:rPr>
            </w:pPr>
            <w:r w:rsidRPr="002A74F3">
              <w:rPr>
                <w:rFonts w:ascii="Arial" w:hAnsi="Arial" w:cs="Arial"/>
                <w:b/>
                <w:bCs/>
                <w:sz w:val="16"/>
                <w:szCs w:val="18"/>
                <w:lang w:val="es-ES"/>
              </w:rPr>
              <w:t>Indicador</w:t>
            </w:r>
          </w:p>
        </w:tc>
        <w:tc>
          <w:tcPr>
            <w:tcW w:w="1276"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3C7B1AF6" w14:textId="77777777" w:rsidR="00177F94" w:rsidRPr="002A74F3" w:rsidRDefault="00177F94" w:rsidP="002E44FD">
            <w:pPr>
              <w:jc w:val="center"/>
              <w:rPr>
                <w:rFonts w:ascii="Arial" w:hAnsi="Arial" w:cs="Arial"/>
                <w:sz w:val="16"/>
                <w:szCs w:val="18"/>
                <w:lang w:val="es-CO"/>
              </w:rPr>
            </w:pPr>
            <w:r w:rsidRPr="002A74F3">
              <w:rPr>
                <w:rFonts w:ascii="Arial" w:hAnsi="Arial" w:cs="Arial"/>
                <w:b/>
                <w:bCs/>
                <w:sz w:val="16"/>
                <w:szCs w:val="18"/>
                <w:lang w:val="es-ES"/>
              </w:rPr>
              <w:t>Meta anual</w:t>
            </w:r>
          </w:p>
        </w:tc>
        <w:tc>
          <w:tcPr>
            <w:tcW w:w="155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59C623E3" w14:textId="77777777" w:rsidR="00177F94" w:rsidRPr="002A74F3" w:rsidRDefault="00177F94" w:rsidP="002E44FD">
            <w:pPr>
              <w:jc w:val="center"/>
              <w:rPr>
                <w:rFonts w:ascii="Arial" w:hAnsi="Arial" w:cs="Arial"/>
                <w:i/>
                <w:iCs/>
                <w:sz w:val="16"/>
                <w:szCs w:val="18"/>
                <w:lang w:val="es-CO"/>
              </w:rPr>
            </w:pPr>
            <w:r w:rsidRPr="002A74F3">
              <w:rPr>
                <w:rFonts w:ascii="Arial" w:hAnsi="Arial" w:cs="Arial"/>
                <w:b/>
                <w:bCs/>
                <w:i/>
                <w:iCs/>
                <w:sz w:val="16"/>
                <w:szCs w:val="18"/>
                <w:lang w:val="es-ES"/>
              </w:rPr>
              <w:t>Valor proyectado periodo</w:t>
            </w:r>
          </w:p>
        </w:tc>
        <w:tc>
          <w:tcPr>
            <w:tcW w:w="1417"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215B911C" w14:textId="77777777" w:rsidR="00177F94" w:rsidRPr="002A74F3" w:rsidRDefault="00177F94" w:rsidP="002E44FD">
            <w:pPr>
              <w:jc w:val="center"/>
              <w:rPr>
                <w:rFonts w:ascii="Arial" w:hAnsi="Arial" w:cs="Arial"/>
                <w:sz w:val="16"/>
                <w:szCs w:val="18"/>
                <w:lang w:val="es-CO"/>
              </w:rPr>
            </w:pPr>
            <w:r w:rsidRPr="002A74F3">
              <w:rPr>
                <w:rFonts w:ascii="Arial" w:hAnsi="Arial" w:cs="Arial"/>
                <w:b/>
                <w:bCs/>
                <w:sz w:val="16"/>
                <w:szCs w:val="18"/>
                <w:lang w:val="es-ES"/>
              </w:rPr>
              <w:t>Valor ejecutado periodo</w:t>
            </w:r>
          </w:p>
        </w:tc>
        <w:tc>
          <w:tcPr>
            <w:tcW w:w="993"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50DAAA40" w14:textId="77777777" w:rsidR="00177F94" w:rsidRPr="002A74F3" w:rsidRDefault="00177F94" w:rsidP="002E44FD">
            <w:pPr>
              <w:jc w:val="center"/>
              <w:rPr>
                <w:rFonts w:ascii="Arial" w:hAnsi="Arial" w:cs="Arial"/>
                <w:b/>
                <w:bCs/>
                <w:sz w:val="16"/>
                <w:szCs w:val="18"/>
                <w:lang w:val="es-ES"/>
              </w:rPr>
            </w:pPr>
            <w:r w:rsidRPr="002A74F3">
              <w:rPr>
                <w:rFonts w:ascii="Arial" w:hAnsi="Arial" w:cs="Arial"/>
                <w:b/>
                <w:bCs/>
                <w:sz w:val="16"/>
                <w:szCs w:val="18"/>
                <w:lang w:val="es-ES"/>
              </w:rPr>
              <w:t>% mensual</w:t>
            </w:r>
          </w:p>
          <w:p w14:paraId="6FC2333C" w14:textId="77777777" w:rsidR="00177F94" w:rsidRPr="002A74F3" w:rsidRDefault="00177F94" w:rsidP="002E44FD">
            <w:pPr>
              <w:jc w:val="center"/>
              <w:rPr>
                <w:rFonts w:ascii="Arial" w:hAnsi="Arial" w:cs="Arial"/>
                <w:b/>
                <w:sz w:val="16"/>
                <w:szCs w:val="18"/>
                <w:lang w:val="es-CO"/>
              </w:rPr>
            </w:pPr>
            <w:r w:rsidRPr="002A74F3">
              <w:rPr>
                <w:rFonts w:ascii="Arial" w:hAnsi="Arial" w:cs="Arial"/>
                <w:b/>
                <w:bCs/>
                <w:sz w:val="16"/>
                <w:szCs w:val="18"/>
                <w:lang w:val="es-ES"/>
              </w:rPr>
              <w:t>de avance</w:t>
            </w:r>
          </w:p>
        </w:tc>
        <w:tc>
          <w:tcPr>
            <w:tcW w:w="992"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08348AC6" w14:textId="77777777" w:rsidR="00177F94" w:rsidRPr="002A74F3" w:rsidRDefault="00177F94" w:rsidP="002E44FD">
            <w:pPr>
              <w:jc w:val="center"/>
              <w:rPr>
                <w:rFonts w:ascii="Arial" w:hAnsi="Arial" w:cs="Arial"/>
                <w:b/>
                <w:bCs/>
                <w:sz w:val="16"/>
                <w:szCs w:val="18"/>
                <w:lang w:val="es-ES"/>
              </w:rPr>
            </w:pPr>
            <w:r w:rsidRPr="002A74F3">
              <w:rPr>
                <w:rFonts w:ascii="Arial" w:hAnsi="Arial" w:cs="Arial"/>
                <w:b/>
                <w:bCs/>
                <w:sz w:val="16"/>
                <w:szCs w:val="18"/>
                <w:lang w:val="es-ES"/>
              </w:rPr>
              <w:t>%</w:t>
            </w:r>
          </w:p>
          <w:p w14:paraId="62BC78B6" w14:textId="77777777" w:rsidR="00177F94" w:rsidRPr="002A74F3" w:rsidRDefault="00177F94" w:rsidP="002E44FD">
            <w:pPr>
              <w:jc w:val="center"/>
              <w:rPr>
                <w:rFonts w:ascii="Arial" w:hAnsi="Arial" w:cs="Arial"/>
                <w:b/>
                <w:sz w:val="16"/>
                <w:szCs w:val="18"/>
                <w:lang w:val="es-CO"/>
              </w:rPr>
            </w:pPr>
            <w:r w:rsidRPr="002A74F3">
              <w:rPr>
                <w:rFonts w:ascii="Arial" w:hAnsi="Arial" w:cs="Arial"/>
                <w:b/>
                <w:bCs/>
                <w:sz w:val="16"/>
                <w:szCs w:val="18"/>
                <w:lang w:val="es-ES"/>
              </w:rPr>
              <w:t>Acumulado</w:t>
            </w:r>
          </w:p>
        </w:tc>
        <w:tc>
          <w:tcPr>
            <w:tcW w:w="850"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736FD374" w14:textId="77777777" w:rsidR="00177F94" w:rsidRPr="002A74F3" w:rsidRDefault="00177F94" w:rsidP="002E44FD">
            <w:pPr>
              <w:jc w:val="center"/>
              <w:rPr>
                <w:rFonts w:ascii="Arial" w:hAnsi="Arial" w:cs="Arial"/>
                <w:b/>
                <w:bCs/>
                <w:sz w:val="16"/>
                <w:szCs w:val="18"/>
                <w:lang w:val="es-ES"/>
              </w:rPr>
            </w:pPr>
            <w:r w:rsidRPr="002A74F3">
              <w:rPr>
                <w:rFonts w:ascii="Arial" w:hAnsi="Arial" w:cs="Arial"/>
                <w:b/>
                <w:bCs/>
                <w:sz w:val="16"/>
                <w:szCs w:val="18"/>
                <w:lang w:val="es-ES"/>
              </w:rPr>
              <w:t>Valor ejecutado</w:t>
            </w:r>
          </w:p>
          <w:p w14:paraId="240FF437" w14:textId="77777777" w:rsidR="00177F94" w:rsidRPr="002A74F3" w:rsidRDefault="00177F94" w:rsidP="002E44FD">
            <w:pPr>
              <w:jc w:val="center"/>
              <w:rPr>
                <w:rFonts w:ascii="Arial" w:hAnsi="Arial" w:cs="Arial"/>
                <w:b/>
                <w:sz w:val="16"/>
                <w:szCs w:val="18"/>
                <w:lang w:val="es-CO"/>
              </w:rPr>
            </w:pPr>
            <w:r w:rsidRPr="002A74F3">
              <w:rPr>
                <w:rFonts w:ascii="Arial" w:hAnsi="Arial" w:cs="Arial"/>
                <w:b/>
                <w:bCs/>
                <w:sz w:val="16"/>
                <w:szCs w:val="18"/>
                <w:lang w:val="es-ES"/>
              </w:rPr>
              <w:t>anual</w:t>
            </w:r>
          </w:p>
        </w:tc>
        <w:tc>
          <w:tcPr>
            <w:tcW w:w="70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1318AB30" w14:textId="77777777" w:rsidR="00177F94" w:rsidRPr="002A74F3" w:rsidRDefault="00177F94" w:rsidP="002E44FD">
            <w:pPr>
              <w:jc w:val="center"/>
              <w:rPr>
                <w:rFonts w:ascii="Arial" w:hAnsi="Arial" w:cs="Arial"/>
                <w:b/>
                <w:sz w:val="16"/>
                <w:szCs w:val="18"/>
                <w:lang w:val="es-CO"/>
              </w:rPr>
            </w:pPr>
            <w:r w:rsidRPr="002A74F3">
              <w:rPr>
                <w:rFonts w:ascii="Arial" w:hAnsi="Arial" w:cs="Arial"/>
                <w:b/>
                <w:bCs/>
                <w:sz w:val="16"/>
                <w:szCs w:val="18"/>
                <w:lang w:val="es-ES"/>
              </w:rPr>
              <w:t>% avance anual</w:t>
            </w:r>
          </w:p>
        </w:tc>
      </w:tr>
      <w:tr w:rsidR="00177F94" w:rsidRPr="00AB6725" w14:paraId="3DD96CF7" w14:textId="77777777" w:rsidTr="002A74F3">
        <w:trPr>
          <w:trHeight w:val="353"/>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A495170" w14:textId="24ACB1B3" w:rsidR="00177F94" w:rsidRPr="00AB6725" w:rsidRDefault="00477837" w:rsidP="002E44FD">
            <w:pPr>
              <w:ind w:left="131" w:right="124"/>
              <w:jc w:val="center"/>
              <w:rPr>
                <w:rFonts w:ascii="Arial" w:hAnsi="Arial" w:cs="Arial"/>
                <w:color w:val="000000"/>
                <w:sz w:val="18"/>
                <w:szCs w:val="18"/>
              </w:rPr>
            </w:pPr>
            <w:r w:rsidRPr="00477837">
              <w:rPr>
                <w:rFonts w:ascii="Arial" w:hAnsi="Arial" w:cs="Arial"/>
                <w:color w:val="000000"/>
                <w:sz w:val="18"/>
                <w:szCs w:val="18"/>
              </w:rPr>
              <w:t>Seguimiento aleatorio a la gestión de pagos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C6155E" w14:textId="1029EA36" w:rsidR="00177F94" w:rsidRPr="00AB6725" w:rsidRDefault="00477837" w:rsidP="002E44FD">
            <w:pPr>
              <w:ind w:left="131" w:right="124"/>
              <w:jc w:val="center"/>
              <w:rPr>
                <w:rFonts w:ascii="Arial" w:hAnsi="Arial" w:cs="Arial"/>
                <w:color w:val="000000"/>
                <w:sz w:val="18"/>
                <w:szCs w:val="18"/>
              </w:rPr>
            </w:pPr>
            <w:r>
              <w:rPr>
                <w:rFonts w:ascii="Arial" w:hAnsi="Arial" w:cs="Arial"/>
                <w:color w:val="000000"/>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F2EB5A1" w14:textId="330ADD5A" w:rsidR="00177F94" w:rsidRPr="00AB6725" w:rsidRDefault="00477837" w:rsidP="002E44FD">
            <w:pPr>
              <w:ind w:left="131" w:right="124"/>
              <w:jc w:val="center"/>
              <w:rPr>
                <w:rFonts w:ascii="Arial" w:hAnsi="Arial" w:cs="Arial"/>
                <w:color w:val="000000"/>
                <w:sz w:val="18"/>
                <w:szCs w:val="18"/>
              </w:rPr>
            </w:pPr>
            <w:r>
              <w:rPr>
                <w:rFonts w:ascii="Arial" w:hAnsi="Arial" w:cs="Arial"/>
                <w:color w:val="000000"/>
                <w:sz w:val="18"/>
                <w:szCs w:val="1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FAAC57" w14:textId="42DAA754" w:rsidR="00177F94" w:rsidRPr="00AB6725" w:rsidRDefault="00477837" w:rsidP="002E44FD">
            <w:pPr>
              <w:jc w:val="center"/>
              <w:rPr>
                <w:rFonts w:ascii="Arial" w:hAnsi="Arial" w:cs="Arial"/>
                <w:color w:val="000000"/>
                <w:sz w:val="18"/>
                <w:szCs w:val="18"/>
              </w:rPr>
            </w:pPr>
            <w:r>
              <w:rPr>
                <w:rFonts w:ascii="Arial" w:hAnsi="Arial" w:cs="Arial"/>
                <w:color w:val="000000"/>
                <w:sz w:val="18"/>
                <w:szCs w:val="18"/>
              </w:rPr>
              <w:t>3.51</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tcPr>
          <w:p w14:paraId="14B2710E" w14:textId="59520EFE"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70</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tcPr>
          <w:p w14:paraId="1CA7EBD9" w14:textId="3C15F912"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77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0F9B6D" w14:textId="3200F65D" w:rsidR="00177F94" w:rsidRPr="00AB6725" w:rsidRDefault="00477837" w:rsidP="002E44FD">
            <w:pPr>
              <w:jc w:val="center"/>
              <w:rPr>
                <w:rFonts w:ascii="Arial" w:hAnsi="Arial" w:cs="Arial"/>
                <w:color w:val="000000"/>
                <w:sz w:val="18"/>
                <w:szCs w:val="18"/>
              </w:rPr>
            </w:pPr>
            <w:r>
              <w:rPr>
                <w:rFonts w:ascii="Arial" w:hAnsi="Arial" w:cs="Arial"/>
                <w:color w:val="000000"/>
                <w:sz w:val="18"/>
                <w:szCs w:val="18"/>
              </w:rPr>
              <w:t>3.51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ECA9C41" w14:textId="69F82AEB"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66</w:t>
            </w:r>
          </w:p>
        </w:tc>
      </w:tr>
      <w:tr w:rsidR="00177F94" w:rsidRPr="00AB6725" w14:paraId="678ED9B1" w14:textId="77777777" w:rsidTr="002A74F3">
        <w:trPr>
          <w:trHeight w:val="353"/>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36033D" w14:textId="00F8CABA" w:rsidR="00177F94" w:rsidRPr="00AB6725" w:rsidRDefault="00477837" w:rsidP="002E44FD">
            <w:pPr>
              <w:ind w:left="131" w:right="124"/>
              <w:jc w:val="center"/>
              <w:rPr>
                <w:rFonts w:ascii="Arial" w:hAnsi="Arial" w:cs="Arial"/>
                <w:color w:val="000000"/>
                <w:sz w:val="18"/>
                <w:szCs w:val="18"/>
              </w:rPr>
            </w:pPr>
            <w:r w:rsidRPr="00477837">
              <w:rPr>
                <w:rFonts w:ascii="Arial" w:hAnsi="Arial" w:cs="Arial"/>
                <w:color w:val="000000"/>
                <w:sz w:val="18"/>
                <w:szCs w:val="18"/>
              </w:rPr>
              <w:t>Toneladas de RCD controladas dispuestas adecuadamente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8272E41" w14:textId="5C28BB03" w:rsidR="00177F94" w:rsidRPr="00AB6725" w:rsidRDefault="00A3779A" w:rsidP="002E44FD">
            <w:pPr>
              <w:ind w:left="131" w:right="124"/>
              <w:jc w:val="center"/>
              <w:rPr>
                <w:rFonts w:ascii="Arial" w:hAnsi="Arial" w:cs="Arial"/>
                <w:color w:val="000000"/>
                <w:sz w:val="18"/>
                <w:szCs w:val="18"/>
              </w:rPr>
            </w:pPr>
            <w:r>
              <w:rPr>
                <w:rFonts w:ascii="Arial" w:hAnsi="Arial" w:cs="Arial"/>
                <w:color w:val="000000"/>
                <w:sz w:val="18"/>
                <w:szCs w:val="18"/>
              </w:rPr>
              <w:t xml:space="preserve">TON </w:t>
            </w:r>
            <w:r w:rsidR="00477837" w:rsidRPr="00477837">
              <w:rPr>
                <w:rFonts w:ascii="Arial" w:hAnsi="Arial" w:cs="Arial"/>
                <w:color w:val="000000"/>
                <w:sz w:val="18"/>
                <w:szCs w:val="18"/>
              </w:rPr>
              <w:t>4.580.000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262716" w14:textId="496391C7" w:rsidR="00177F94" w:rsidRPr="00AB6725" w:rsidRDefault="00A3779A" w:rsidP="002E44FD">
            <w:pPr>
              <w:ind w:left="131" w:right="124"/>
              <w:jc w:val="center"/>
              <w:rPr>
                <w:rFonts w:ascii="Arial" w:hAnsi="Arial" w:cs="Arial"/>
                <w:color w:val="000000"/>
                <w:sz w:val="18"/>
                <w:szCs w:val="18"/>
              </w:rPr>
            </w:pPr>
            <w:r>
              <w:rPr>
                <w:rFonts w:ascii="Arial" w:hAnsi="Arial" w:cs="Arial"/>
                <w:color w:val="000000"/>
                <w:sz w:val="18"/>
                <w:szCs w:val="18"/>
              </w:rPr>
              <w:t xml:space="preserve">TON     </w:t>
            </w:r>
            <w:r w:rsidR="00477837">
              <w:rPr>
                <w:rFonts w:ascii="Arial" w:hAnsi="Arial" w:cs="Arial"/>
                <w:color w:val="000000"/>
                <w:sz w:val="18"/>
                <w:szCs w:val="18"/>
              </w:rPr>
              <w:t>360.000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B66F06" w14:textId="0BDC66C6" w:rsidR="00177F94" w:rsidRPr="00AB6725" w:rsidRDefault="00A3779A" w:rsidP="002E44FD">
            <w:pPr>
              <w:jc w:val="center"/>
              <w:rPr>
                <w:rFonts w:ascii="Arial" w:hAnsi="Arial" w:cs="Arial"/>
                <w:color w:val="000000"/>
                <w:sz w:val="18"/>
                <w:szCs w:val="18"/>
              </w:rPr>
            </w:pPr>
            <w:r>
              <w:rPr>
                <w:rFonts w:ascii="Arial" w:hAnsi="Arial" w:cs="Arial"/>
                <w:color w:val="000000"/>
                <w:sz w:val="18"/>
                <w:szCs w:val="18"/>
              </w:rPr>
              <w:t xml:space="preserve">TON    </w:t>
            </w:r>
            <w:r w:rsidR="00477837" w:rsidRPr="00477837">
              <w:rPr>
                <w:rFonts w:ascii="Arial" w:hAnsi="Arial" w:cs="Arial"/>
                <w:color w:val="000000"/>
                <w:sz w:val="18"/>
                <w:szCs w:val="18"/>
              </w:rPr>
              <w:t>248.801,08</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tcPr>
          <w:p w14:paraId="2DCE38EF" w14:textId="2E743834"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69</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tcPr>
          <w:p w14:paraId="5B6AF71F" w14:textId="3B9CF191"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1975959" w14:textId="76D217A4" w:rsidR="00177F94" w:rsidRPr="00AB6725" w:rsidRDefault="00A3779A" w:rsidP="002E44FD">
            <w:pPr>
              <w:jc w:val="center"/>
              <w:rPr>
                <w:rFonts w:ascii="Arial" w:hAnsi="Arial" w:cs="Arial"/>
                <w:color w:val="000000"/>
                <w:sz w:val="18"/>
                <w:szCs w:val="18"/>
              </w:rPr>
            </w:pPr>
            <w:r>
              <w:rPr>
                <w:rFonts w:ascii="Arial" w:hAnsi="Arial" w:cs="Arial"/>
                <w:color w:val="000000"/>
                <w:sz w:val="18"/>
                <w:szCs w:val="18"/>
              </w:rPr>
              <w:t xml:space="preserve">TON </w:t>
            </w:r>
            <w:r w:rsidR="00477837" w:rsidRPr="00477837">
              <w:rPr>
                <w:rFonts w:ascii="Arial" w:hAnsi="Arial" w:cs="Arial"/>
                <w:color w:val="000000"/>
                <w:sz w:val="18"/>
                <w:szCs w:val="18"/>
              </w:rPr>
              <w:t>2.933.924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4B7331" w14:textId="3A10FA1A"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64</w:t>
            </w:r>
          </w:p>
        </w:tc>
      </w:tr>
      <w:tr w:rsidR="00177F94" w:rsidRPr="00AB6725" w14:paraId="6D22F3DD" w14:textId="77777777" w:rsidTr="002A74F3">
        <w:trPr>
          <w:trHeight w:val="353"/>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4252A9" w14:textId="11AFB7BB" w:rsidR="00177F94" w:rsidRPr="00AB6725" w:rsidRDefault="00477837" w:rsidP="002E44FD">
            <w:pPr>
              <w:ind w:left="131" w:right="124"/>
              <w:jc w:val="center"/>
              <w:rPr>
                <w:rFonts w:ascii="Arial" w:hAnsi="Arial" w:cs="Arial"/>
                <w:color w:val="000000"/>
                <w:sz w:val="18"/>
                <w:szCs w:val="18"/>
              </w:rPr>
            </w:pPr>
            <w:r w:rsidRPr="00477837">
              <w:rPr>
                <w:rFonts w:ascii="Arial" w:hAnsi="Arial" w:cs="Arial"/>
                <w:color w:val="000000"/>
                <w:sz w:val="18"/>
                <w:szCs w:val="18"/>
              </w:rPr>
              <w:t>Arboles bajo seguimiento en Bogotá D.C.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6A04CD" w14:textId="1D283769" w:rsidR="00177F94" w:rsidRPr="00AB6725" w:rsidRDefault="00477837" w:rsidP="002E44FD">
            <w:pPr>
              <w:ind w:left="131" w:right="124"/>
              <w:jc w:val="center"/>
              <w:rPr>
                <w:rFonts w:ascii="Arial" w:hAnsi="Arial" w:cs="Arial"/>
                <w:color w:val="000000"/>
                <w:sz w:val="18"/>
                <w:szCs w:val="18"/>
              </w:rPr>
            </w:pPr>
            <w:r>
              <w:rPr>
                <w:rFonts w:ascii="Arial" w:hAnsi="Arial" w:cs="Arial"/>
                <w:color w:val="000000"/>
                <w:sz w:val="18"/>
                <w:szCs w:val="18"/>
              </w:rPr>
              <w:t>20.000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46D30F" w14:textId="2AE26CA5" w:rsidR="00177F94" w:rsidRPr="00AB6725" w:rsidRDefault="00477837" w:rsidP="002E44FD">
            <w:pPr>
              <w:ind w:left="131" w:right="124"/>
              <w:jc w:val="center"/>
              <w:rPr>
                <w:rFonts w:ascii="Arial" w:hAnsi="Arial" w:cs="Arial"/>
                <w:color w:val="000000"/>
                <w:sz w:val="18"/>
                <w:szCs w:val="18"/>
              </w:rPr>
            </w:pPr>
            <w:r>
              <w:rPr>
                <w:rFonts w:ascii="Arial" w:hAnsi="Arial" w:cs="Arial"/>
                <w:color w:val="000000"/>
                <w:sz w:val="18"/>
                <w:szCs w:val="18"/>
              </w:rPr>
              <w:t>3.500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BD532" w14:textId="4B6EC3F1" w:rsidR="00177F94" w:rsidRPr="00AB6725" w:rsidRDefault="00477837" w:rsidP="002E44FD">
            <w:pPr>
              <w:jc w:val="center"/>
              <w:rPr>
                <w:rFonts w:ascii="Arial" w:hAnsi="Arial" w:cs="Arial"/>
                <w:color w:val="000000"/>
                <w:sz w:val="18"/>
                <w:szCs w:val="18"/>
              </w:rPr>
            </w:pPr>
            <w:r>
              <w:rPr>
                <w:rFonts w:ascii="Arial" w:hAnsi="Arial" w:cs="Arial"/>
                <w:color w:val="000000"/>
                <w:sz w:val="18"/>
                <w:szCs w:val="18"/>
              </w:rPr>
              <w:t>2.063</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tcPr>
          <w:p w14:paraId="11CEAFF1" w14:textId="735FD1C2"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59</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tcPr>
          <w:p w14:paraId="41405CAF" w14:textId="3DFEFE2E"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104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D307EE3" w14:textId="7A6A0A8A" w:rsidR="00177F94" w:rsidRPr="00AB6725" w:rsidRDefault="00477837" w:rsidP="002E44FD">
            <w:pPr>
              <w:jc w:val="center"/>
              <w:rPr>
                <w:rFonts w:ascii="Arial" w:hAnsi="Arial" w:cs="Arial"/>
                <w:color w:val="000000"/>
                <w:sz w:val="18"/>
                <w:szCs w:val="18"/>
              </w:rPr>
            </w:pPr>
            <w:r>
              <w:rPr>
                <w:rFonts w:ascii="Arial" w:hAnsi="Arial" w:cs="Arial"/>
                <w:color w:val="000000"/>
                <w:sz w:val="18"/>
                <w:szCs w:val="18"/>
              </w:rPr>
              <w:t>2.063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80B816" w14:textId="51235C8C" w:rsidR="00177F94" w:rsidRPr="00AB6725" w:rsidRDefault="00477837" w:rsidP="002E44FD">
            <w:pPr>
              <w:jc w:val="center"/>
              <w:rPr>
                <w:rFonts w:ascii="Arial" w:hAnsi="Arial" w:cs="Arial"/>
                <w:b/>
                <w:bCs/>
                <w:color w:val="000000"/>
                <w:sz w:val="18"/>
                <w:szCs w:val="18"/>
              </w:rPr>
            </w:pPr>
            <w:r>
              <w:rPr>
                <w:rFonts w:ascii="Arial" w:hAnsi="Arial" w:cs="Arial"/>
                <w:b/>
                <w:bCs/>
                <w:color w:val="000000"/>
                <w:sz w:val="18"/>
                <w:szCs w:val="18"/>
              </w:rPr>
              <w:t>10</w:t>
            </w:r>
          </w:p>
        </w:tc>
      </w:tr>
    </w:tbl>
    <w:p w14:paraId="70F25740" w14:textId="77777777" w:rsidR="00177F94" w:rsidRDefault="00177F94" w:rsidP="00BB1EA5">
      <w:pPr>
        <w:rPr>
          <w:rFonts w:ascii="Arial" w:hAnsi="Arial" w:cs="Arial"/>
          <w:sz w:val="20"/>
          <w:szCs w:val="20"/>
        </w:rPr>
      </w:pPr>
    </w:p>
    <w:p w14:paraId="1C0A16BB" w14:textId="050C7995" w:rsidR="00BB1EA5" w:rsidRDefault="00BB1EA5" w:rsidP="00CB2230">
      <w:pPr>
        <w:pStyle w:val="Ttulo2"/>
        <w:numPr>
          <w:ilvl w:val="1"/>
          <w:numId w:val="7"/>
        </w:numPr>
        <w:jc w:val="center"/>
      </w:pPr>
      <w:bookmarkStart w:id="7" w:name="_Toc41378117"/>
      <w:r w:rsidRPr="000C1EC5">
        <w:t>Indicadores en estado insuficiente</w:t>
      </w:r>
      <w:bookmarkEnd w:id="7"/>
    </w:p>
    <w:p w14:paraId="4A16CDBD" w14:textId="77777777" w:rsidR="00C6711A" w:rsidRPr="00C6711A" w:rsidRDefault="00C6711A" w:rsidP="00C6711A"/>
    <w:p w14:paraId="67DFA246" w14:textId="525DB73B" w:rsidR="00BB1EA5" w:rsidRDefault="002E44FD" w:rsidP="00F8148B">
      <w:pPr>
        <w:jc w:val="both"/>
        <w:rPr>
          <w:rFonts w:ascii="Arial" w:hAnsi="Arial" w:cs="Arial"/>
          <w:sz w:val="20"/>
          <w:szCs w:val="20"/>
        </w:rPr>
      </w:pPr>
      <w:r w:rsidRPr="000C1EC5">
        <w:rPr>
          <w:rFonts w:ascii="Arial" w:hAnsi="Arial" w:cs="Arial"/>
          <w:sz w:val="20"/>
          <w:szCs w:val="20"/>
        </w:rPr>
        <w:t xml:space="preserve">Para este periodo </w:t>
      </w:r>
      <w:r w:rsidR="00477837">
        <w:rPr>
          <w:rFonts w:ascii="Arial" w:hAnsi="Arial" w:cs="Arial"/>
          <w:sz w:val="20"/>
          <w:szCs w:val="20"/>
        </w:rPr>
        <w:t>seis</w:t>
      </w:r>
      <w:r w:rsidR="002A74F3" w:rsidRPr="000C1EC5">
        <w:rPr>
          <w:rFonts w:ascii="Arial" w:hAnsi="Arial" w:cs="Arial"/>
          <w:sz w:val="20"/>
          <w:szCs w:val="20"/>
        </w:rPr>
        <w:t xml:space="preserve"> (</w:t>
      </w:r>
      <w:r w:rsidR="00477837">
        <w:rPr>
          <w:rFonts w:ascii="Arial" w:hAnsi="Arial" w:cs="Arial"/>
          <w:sz w:val="20"/>
          <w:szCs w:val="20"/>
        </w:rPr>
        <w:t>6</w:t>
      </w:r>
      <w:r w:rsidR="00BB1EA5" w:rsidRPr="000C1EC5">
        <w:rPr>
          <w:rFonts w:ascii="Arial" w:hAnsi="Arial" w:cs="Arial"/>
          <w:sz w:val="20"/>
          <w:szCs w:val="20"/>
        </w:rPr>
        <w:t xml:space="preserve">) indicadores de gestión que presentan </w:t>
      </w:r>
      <w:r w:rsidR="00477837">
        <w:rPr>
          <w:rFonts w:ascii="Arial" w:hAnsi="Arial" w:cs="Arial"/>
          <w:sz w:val="20"/>
          <w:szCs w:val="20"/>
        </w:rPr>
        <w:t>baja</w:t>
      </w:r>
      <w:r w:rsidR="00BB1EA5" w:rsidRPr="000C1EC5">
        <w:rPr>
          <w:rFonts w:ascii="Arial" w:hAnsi="Arial" w:cs="Arial"/>
          <w:sz w:val="20"/>
          <w:szCs w:val="20"/>
        </w:rPr>
        <w:t xml:space="preserve"> ejecución en sus actividades programadas, y que se ubican en el intervalo de calificación insuficiente con un rango de evaluación entre 0% y 55%.</w:t>
      </w:r>
    </w:p>
    <w:tbl>
      <w:tblPr>
        <w:tblW w:w="11199" w:type="dxa"/>
        <w:tblInd w:w="-1139" w:type="dxa"/>
        <w:tblLayout w:type="fixed"/>
        <w:tblCellMar>
          <w:left w:w="340" w:type="dxa"/>
          <w:right w:w="340" w:type="dxa"/>
        </w:tblCellMar>
        <w:tblLook w:val="0600" w:firstRow="0" w:lastRow="0" w:firstColumn="0" w:lastColumn="0" w:noHBand="1" w:noVBand="1"/>
      </w:tblPr>
      <w:tblGrid>
        <w:gridCol w:w="2977"/>
        <w:gridCol w:w="1701"/>
        <w:gridCol w:w="1559"/>
        <w:gridCol w:w="1276"/>
        <w:gridCol w:w="851"/>
        <w:gridCol w:w="992"/>
        <w:gridCol w:w="1134"/>
        <w:gridCol w:w="709"/>
      </w:tblGrid>
      <w:tr w:rsidR="00EA66AC" w:rsidRPr="00AB6725" w14:paraId="772030F9" w14:textId="77777777" w:rsidTr="00DA315A">
        <w:trPr>
          <w:trHeight w:val="766"/>
          <w:tblHeader/>
        </w:trPr>
        <w:tc>
          <w:tcPr>
            <w:tcW w:w="2977"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096156BD"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Indicador</w:t>
            </w:r>
          </w:p>
        </w:tc>
        <w:tc>
          <w:tcPr>
            <w:tcW w:w="1701"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76493513"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Meta anual</w:t>
            </w:r>
          </w:p>
        </w:tc>
        <w:tc>
          <w:tcPr>
            <w:tcW w:w="155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7185FE61" w14:textId="77777777" w:rsidR="00BB1EA5" w:rsidRPr="002A74F3" w:rsidRDefault="00BB1EA5" w:rsidP="00F316E4">
            <w:pPr>
              <w:jc w:val="center"/>
              <w:rPr>
                <w:rFonts w:ascii="Arial" w:hAnsi="Arial" w:cs="Arial"/>
                <w:i/>
                <w:iCs/>
                <w:sz w:val="16"/>
                <w:szCs w:val="18"/>
                <w:lang w:val="es-CO"/>
              </w:rPr>
            </w:pPr>
            <w:r w:rsidRPr="002A74F3">
              <w:rPr>
                <w:rFonts w:ascii="Arial" w:hAnsi="Arial" w:cs="Arial"/>
                <w:b/>
                <w:bCs/>
                <w:i/>
                <w:iCs/>
                <w:sz w:val="16"/>
                <w:szCs w:val="18"/>
                <w:lang w:val="es-ES"/>
              </w:rPr>
              <w:t>Valor proyectado periodo</w:t>
            </w:r>
          </w:p>
        </w:tc>
        <w:tc>
          <w:tcPr>
            <w:tcW w:w="1276"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3C7CBF68" w14:textId="77777777" w:rsidR="00BB1EA5" w:rsidRPr="002A74F3" w:rsidRDefault="00BB1EA5" w:rsidP="00F316E4">
            <w:pPr>
              <w:jc w:val="center"/>
              <w:rPr>
                <w:rFonts w:ascii="Arial" w:hAnsi="Arial" w:cs="Arial"/>
                <w:sz w:val="16"/>
                <w:szCs w:val="18"/>
                <w:lang w:val="es-CO"/>
              </w:rPr>
            </w:pPr>
            <w:r w:rsidRPr="002A74F3">
              <w:rPr>
                <w:rFonts w:ascii="Arial" w:hAnsi="Arial" w:cs="Arial"/>
                <w:b/>
                <w:bCs/>
                <w:sz w:val="16"/>
                <w:szCs w:val="18"/>
                <w:lang w:val="es-ES"/>
              </w:rPr>
              <w:t>Valor ejecutado periodo</w:t>
            </w:r>
          </w:p>
        </w:tc>
        <w:tc>
          <w:tcPr>
            <w:tcW w:w="851"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18C7CF7A" w14:textId="77777777" w:rsidR="00BB1EA5" w:rsidRPr="002A74F3" w:rsidRDefault="00BB1EA5" w:rsidP="00F316E4">
            <w:pPr>
              <w:jc w:val="center"/>
              <w:rPr>
                <w:rFonts w:ascii="Arial" w:hAnsi="Arial" w:cs="Arial"/>
                <w:b/>
                <w:bCs/>
                <w:sz w:val="16"/>
                <w:szCs w:val="18"/>
                <w:lang w:val="es-ES"/>
              </w:rPr>
            </w:pPr>
            <w:r w:rsidRPr="002A74F3">
              <w:rPr>
                <w:rFonts w:ascii="Arial" w:hAnsi="Arial" w:cs="Arial"/>
                <w:b/>
                <w:bCs/>
                <w:sz w:val="16"/>
                <w:szCs w:val="18"/>
                <w:lang w:val="es-ES"/>
              </w:rPr>
              <w:t>% mensual</w:t>
            </w:r>
          </w:p>
          <w:p w14:paraId="446F34DE"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de avance</w:t>
            </w:r>
          </w:p>
        </w:tc>
        <w:tc>
          <w:tcPr>
            <w:tcW w:w="992"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794BEF4D" w14:textId="77777777" w:rsidR="00BB1EA5" w:rsidRPr="002A74F3" w:rsidRDefault="00BB1EA5" w:rsidP="00F316E4">
            <w:pPr>
              <w:jc w:val="center"/>
              <w:rPr>
                <w:rFonts w:ascii="Arial" w:hAnsi="Arial" w:cs="Arial"/>
                <w:b/>
                <w:bCs/>
                <w:sz w:val="16"/>
                <w:szCs w:val="18"/>
                <w:lang w:val="es-ES"/>
              </w:rPr>
            </w:pPr>
            <w:r w:rsidRPr="002A74F3">
              <w:rPr>
                <w:rFonts w:ascii="Arial" w:hAnsi="Arial" w:cs="Arial"/>
                <w:b/>
                <w:bCs/>
                <w:sz w:val="16"/>
                <w:szCs w:val="18"/>
                <w:lang w:val="es-ES"/>
              </w:rPr>
              <w:t>%</w:t>
            </w:r>
          </w:p>
          <w:p w14:paraId="71286830"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Acumulado</w:t>
            </w:r>
          </w:p>
        </w:tc>
        <w:tc>
          <w:tcPr>
            <w:tcW w:w="1134"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3631E629" w14:textId="77777777" w:rsidR="00BB1EA5" w:rsidRPr="002A74F3" w:rsidRDefault="00BB1EA5" w:rsidP="00F316E4">
            <w:pPr>
              <w:jc w:val="center"/>
              <w:rPr>
                <w:rFonts w:ascii="Arial" w:hAnsi="Arial" w:cs="Arial"/>
                <w:b/>
                <w:bCs/>
                <w:sz w:val="16"/>
                <w:szCs w:val="18"/>
                <w:lang w:val="es-ES"/>
              </w:rPr>
            </w:pPr>
            <w:r w:rsidRPr="002A74F3">
              <w:rPr>
                <w:rFonts w:ascii="Arial" w:hAnsi="Arial" w:cs="Arial"/>
                <w:b/>
                <w:bCs/>
                <w:sz w:val="16"/>
                <w:szCs w:val="18"/>
                <w:lang w:val="es-ES"/>
              </w:rPr>
              <w:t>Valor ejecutado</w:t>
            </w:r>
          </w:p>
          <w:p w14:paraId="33577BF3"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 xml:space="preserve"> anual</w:t>
            </w:r>
          </w:p>
        </w:tc>
        <w:tc>
          <w:tcPr>
            <w:tcW w:w="709"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3E3AF6F0" w14:textId="77777777" w:rsidR="00BB1EA5" w:rsidRPr="002A74F3" w:rsidRDefault="00BB1EA5" w:rsidP="00F316E4">
            <w:pPr>
              <w:jc w:val="center"/>
              <w:rPr>
                <w:rFonts w:ascii="Arial" w:hAnsi="Arial" w:cs="Arial"/>
                <w:b/>
                <w:sz w:val="16"/>
                <w:szCs w:val="18"/>
                <w:lang w:val="es-CO"/>
              </w:rPr>
            </w:pPr>
            <w:r w:rsidRPr="002A74F3">
              <w:rPr>
                <w:rFonts w:ascii="Arial" w:hAnsi="Arial" w:cs="Arial"/>
                <w:b/>
                <w:bCs/>
                <w:sz w:val="16"/>
                <w:szCs w:val="18"/>
                <w:lang w:val="es-ES"/>
              </w:rPr>
              <w:t>% avance anual</w:t>
            </w:r>
          </w:p>
        </w:tc>
      </w:tr>
      <w:tr w:rsidR="00EA66AC" w:rsidRPr="00AB6725" w14:paraId="72A6F731" w14:textId="77777777" w:rsidTr="002A74F3">
        <w:trPr>
          <w:trHeight w:val="35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6A3920" w14:textId="77777777" w:rsidR="00DA315A" w:rsidRDefault="00DA315A" w:rsidP="00F316E4">
            <w:pPr>
              <w:ind w:left="131" w:right="124"/>
              <w:jc w:val="both"/>
              <w:rPr>
                <w:rFonts w:ascii="Arial" w:hAnsi="Arial" w:cs="Arial"/>
                <w:color w:val="000000"/>
                <w:sz w:val="18"/>
                <w:szCs w:val="18"/>
              </w:rPr>
            </w:pPr>
          </w:p>
          <w:p w14:paraId="2903ADDB" w14:textId="77777777" w:rsidR="00BB1EA5" w:rsidRPr="00AB6725" w:rsidRDefault="00477837" w:rsidP="00F316E4">
            <w:pPr>
              <w:ind w:left="131" w:right="124"/>
              <w:jc w:val="both"/>
              <w:rPr>
                <w:rFonts w:ascii="Arial" w:hAnsi="Arial" w:cs="Arial"/>
                <w:color w:val="000000"/>
                <w:sz w:val="18"/>
                <w:szCs w:val="18"/>
              </w:rPr>
            </w:pPr>
            <w:r w:rsidRPr="00477837">
              <w:rPr>
                <w:rFonts w:ascii="Arial" w:hAnsi="Arial" w:cs="Arial"/>
                <w:color w:val="000000"/>
                <w:sz w:val="18"/>
                <w:szCs w:val="18"/>
              </w:rPr>
              <w:t>Impulso Sancionatorio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316588" w14:textId="5553C143" w:rsidR="00BB1EA5"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B10C402" w14:textId="092A10EB" w:rsidR="00BB1EA5" w:rsidRPr="00AB6725" w:rsidRDefault="00477837" w:rsidP="00F316E4">
            <w:pPr>
              <w:ind w:left="131" w:right="124"/>
              <w:jc w:val="center"/>
              <w:rPr>
                <w:rFonts w:ascii="Arial" w:hAnsi="Arial" w:cs="Arial"/>
                <w:i/>
                <w:iCs/>
                <w:color w:val="000000"/>
                <w:sz w:val="18"/>
                <w:szCs w:val="18"/>
              </w:rPr>
            </w:pPr>
            <w:r>
              <w:rPr>
                <w:rFonts w:ascii="Arial" w:hAnsi="Arial" w:cs="Arial"/>
                <w:i/>
                <w:iCs/>
                <w:color w:val="000000"/>
                <w:sz w:val="18"/>
                <w:szCs w:val="18"/>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3C6403" w14:textId="2DD7B83A"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60D56E0D" w14:textId="47C34D08"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76EBD3F1" w14:textId="2A6EFC15"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2EC1FB" w14:textId="7EC972BD" w:rsidR="00BB1EA5" w:rsidRPr="00AB6725" w:rsidRDefault="00477837" w:rsidP="00F316E4">
            <w:pPr>
              <w:jc w:val="center"/>
              <w:rPr>
                <w:rFonts w:ascii="Arial" w:hAnsi="Arial" w:cs="Arial"/>
                <w:color w:val="000000"/>
                <w:sz w:val="18"/>
                <w:szCs w:val="18"/>
              </w:rPr>
            </w:pPr>
            <w:r>
              <w:rPr>
                <w:rFonts w:ascii="Arial" w:hAnsi="Arial" w:cs="Arial"/>
                <w:color w:val="000000"/>
                <w:sz w:val="18"/>
                <w:szCs w:val="18"/>
              </w:rPr>
              <w:t>498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CD496B9" w14:textId="1143B6F2"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17</w:t>
            </w:r>
          </w:p>
        </w:tc>
      </w:tr>
      <w:tr w:rsidR="00EA66AC" w:rsidRPr="00AB6725" w14:paraId="042DE472" w14:textId="77777777" w:rsidTr="002A74F3">
        <w:trPr>
          <w:trHeight w:val="568"/>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A6617A7" w14:textId="19A6D40D" w:rsidR="00BB1EA5" w:rsidRPr="00AB6725" w:rsidRDefault="00477837" w:rsidP="00F316E4">
            <w:pPr>
              <w:ind w:left="131" w:right="124"/>
              <w:jc w:val="both"/>
              <w:rPr>
                <w:rFonts w:ascii="Arial" w:hAnsi="Arial" w:cs="Arial"/>
                <w:color w:val="000000"/>
                <w:sz w:val="18"/>
                <w:szCs w:val="18"/>
              </w:rPr>
            </w:pPr>
            <w:r w:rsidRPr="00477837">
              <w:rPr>
                <w:rFonts w:ascii="Arial" w:hAnsi="Arial" w:cs="Arial"/>
                <w:color w:val="000000"/>
                <w:sz w:val="18"/>
                <w:szCs w:val="18"/>
              </w:rPr>
              <w:t>Decisiones de Fondo en procesos Sancionatorios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9A61718" w14:textId="3021B3B7" w:rsidR="00BB1EA5"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D0BAC0" w14:textId="17F847C7" w:rsidR="00BB1EA5"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993915" w14:textId="2AE65E08" w:rsidR="00BB1EA5" w:rsidRPr="00AB6725" w:rsidRDefault="00477837" w:rsidP="00F316E4">
            <w:pPr>
              <w:jc w:val="center"/>
              <w:rPr>
                <w:rFonts w:ascii="Arial" w:hAnsi="Arial" w:cs="Arial"/>
                <w:color w:val="000000"/>
                <w:sz w:val="18"/>
                <w:szCs w:val="18"/>
              </w:rPr>
            </w:pPr>
            <w:r>
              <w:rPr>
                <w:rFonts w:ascii="Arial" w:hAnsi="Arial" w:cs="Arial"/>
                <w:color w:val="00000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462FB298" w14:textId="62B23059"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2EE35480" w14:textId="68F59F32"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2D7FD3" w14:textId="31E92B57" w:rsidR="00BB1EA5" w:rsidRPr="00AB6725" w:rsidRDefault="00477837" w:rsidP="00F316E4">
            <w:pPr>
              <w:jc w:val="center"/>
              <w:rPr>
                <w:rFonts w:ascii="Arial" w:hAnsi="Arial" w:cs="Arial"/>
                <w:color w:val="000000"/>
                <w:sz w:val="18"/>
                <w:szCs w:val="18"/>
              </w:rPr>
            </w:pPr>
            <w:r>
              <w:rPr>
                <w:rFonts w:ascii="Arial" w:hAnsi="Arial" w:cs="Arial"/>
                <w:color w:val="000000"/>
                <w:sz w:val="18"/>
                <w:szCs w:val="18"/>
              </w:rPr>
              <w:t>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68DACE1" w14:textId="59306AD7"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23</w:t>
            </w:r>
          </w:p>
        </w:tc>
      </w:tr>
      <w:tr w:rsidR="00EA66AC" w:rsidRPr="00AB6725" w14:paraId="6FEB03AD" w14:textId="77777777" w:rsidTr="002A74F3">
        <w:trPr>
          <w:trHeight w:val="353"/>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FA19F6F" w14:textId="471827F5" w:rsidR="00BB1EA5" w:rsidRPr="00AB6725" w:rsidRDefault="00477837" w:rsidP="00F316E4">
            <w:pPr>
              <w:ind w:left="131" w:right="124"/>
              <w:jc w:val="both"/>
              <w:rPr>
                <w:rFonts w:ascii="Arial" w:hAnsi="Arial" w:cs="Arial"/>
                <w:color w:val="000000"/>
                <w:sz w:val="18"/>
                <w:szCs w:val="18"/>
              </w:rPr>
            </w:pPr>
            <w:r w:rsidRPr="00477837">
              <w:rPr>
                <w:rFonts w:ascii="Arial" w:hAnsi="Arial" w:cs="Arial"/>
                <w:color w:val="000000"/>
                <w:sz w:val="18"/>
                <w:szCs w:val="18"/>
              </w:rPr>
              <w:t>Vehículos revisados del parque automotor que circula en Bogotá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6E641B" w14:textId="3B35FC75" w:rsidR="00BB1EA5"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19.600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403202B" w14:textId="2122E68D" w:rsidR="00BB1EA5"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15.680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6F612F3" w14:textId="52F38517" w:rsidR="00BB1EA5" w:rsidRPr="00AB6725" w:rsidRDefault="00477837" w:rsidP="00F316E4">
            <w:pPr>
              <w:jc w:val="center"/>
              <w:rPr>
                <w:rFonts w:ascii="Arial" w:hAnsi="Arial" w:cs="Arial"/>
                <w:color w:val="000000"/>
                <w:sz w:val="18"/>
                <w:szCs w:val="18"/>
              </w:rPr>
            </w:pPr>
            <w:r>
              <w:rPr>
                <w:rFonts w:ascii="Arial" w:hAnsi="Arial" w:cs="Arial"/>
                <w:color w:val="000000"/>
                <w:sz w:val="18"/>
                <w:szCs w:val="18"/>
              </w:rPr>
              <w:t>4.688</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1941BB89" w14:textId="6345A356"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09C446A6" w14:textId="01980E3C"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D6F38B" w14:textId="4166CE2B" w:rsidR="00BB1EA5" w:rsidRPr="00AB6725" w:rsidRDefault="00477837" w:rsidP="00F316E4">
            <w:pPr>
              <w:jc w:val="center"/>
              <w:rPr>
                <w:rFonts w:ascii="Arial" w:hAnsi="Arial" w:cs="Arial"/>
                <w:color w:val="000000"/>
                <w:sz w:val="18"/>
                <w:szCs w:val="18"/>
              </w:rPr>
            </w:pPr>
            <w:r>
              <w:rPr>
                <w:rFonts w:ascii="Arial" w:hAnsi="Arial" w:cs="Arial"/>
                <w:color w:val="000000"/>
                <w:sz w:val="18"/>
                <w:szCs w:val="18"/>
              </w:rPr>
              <w:t>4.688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49FFE6" w14:textId="20000E35" w:rsidR="00BB1EA5"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24</w:t>
            </w:r>
          </w:p>
        </w:tc>
      </w:tr>
      <w:tr w:rsidR="00EA66AC" w:rsidRPr="00AB6725" w14:paraId="359756B7" w14:textId="77777777" w:rsidTr="002A74F3">
        <w:trPr>
          <w:trHeight w:val="519"/>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F8FDFC" w14:textId="450CD811" w:rsidR="00EA66AC" w:rsidRPr="00AB6725" w:rsidRDefault="00477837" w:rsidP="00F316E4">
            <w:pPr>
              <w:ind w:left="131" w:right="124"/>
              <w:jc w:val="both"/>
              <w:rPr>
                <w:rFonts w:ascii="Arial" w:hAnsi="Arial" w:cs="Arial"/>
                <w:color w:val="000000"/>
                <w:sz w:val="18"/>
                <w:szCs w:val="18"/>
              </w:rPr>
            </w:pPr>
            <w:r w:rsidRPr="00477837">
              <w:rPr>
                <w:rFonts w:ascii="Arial" w:hAnsi="Arial" w:cs="Arial"/>
                <w:color w:val="000000"/>
                <w:sz w:val="18"/>
                <w:szCs w:val="18"/>
              </w:rPr>
              <w:t>Establecimientos de acopio de llantas con seguimiento y control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C346305" w14:textId="18C9D33A" w:rsidR="00EA66AC"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997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C792AD" w14:textId="11B923C0" w:rsidR="00EA66AC"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352EB36" w14:textId="069D41C3" w:rsidR="00EA66AC" w:rsidRPr="00AB6725" w:rsidRDefault="00477837" w:rsidP="00F316E4">
            <w:pPr>
              <w:jc w:val="center"/>
              <w:rPr>
                <w:rFonts w:ascii="Arial" w:hAnsi="Arial" w:cs="Arial"/>
                <w:color w:val="000000"/>
                <w:sz w:val="18"/>
                <w:szCs w:val="18"/>
              </w:rPr>
            </w:pPr>
            <w:r>
              <w:rPr>
                <w:rFonts w:ascii="Arial" w:hAnsi="Arial" w:cs="Arial"/>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7F1653D3" w14:textId="59F0947B" w:rsidR="00EA66AC"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169AC45C" w14:textId="7D7D06D3" w:rsidR="00EA66AC"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A6BB6E4" w14:textId="407BCC2E" w:rsidR="00EA66AC" w:rsidRPr="00AB6725" w:rsidRDefault="00477837" w:rsidP="00F316E4">
            <w:pPr>
              <w:jc w:val="center"/>
              <w:rPr>
                <w:rFonts w:ascii="Arial" w:hAnsi="Arial" w:cs="Arial"/>
                <w:color w:val="000000"/>
                <w:sz w:val="18"/>
                <w:szCs w:val="18"/>
              </w:rPr>
            </w:pPr>
            <w:r>
              <w:rPr>
                <w:rFonts w:ascii="Arial" w:hAnsi="Arial" w:cs="Arial"/>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542EE2" w14:textId="6854E08B" w:rsidR="00EA66AC"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0</w:t>
            </w:r>
          </w:p>
        </w:tc>
      </w:tr>
      <w:tr w:rsidR="00EA66AC" w:rsidRPr="00AB6725" w14:paraId="1B8DE9DE" w14:textId="77777777" w:rsidTr="002A74F3">
        <w:trPr>
          <w:trHeight w:val="519"/>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9E67051" w14:textId="70A3B893" w:rsidR="00EA66AC" w:rsidRPr="00AB6725" w:rsidRDefault="00477837" w:rsidP="00F316E4">
            <w:pPr>
              <w:ind w:left="131" w:right="124"/>
              <w:jc w:val="both"/>
              <w:rPr>
                <w:rFonts w:ascii="Arial" w:hAnsi="Arial" w:cs="Arial"/>
                <w:color w:val="000000"/>
                <w:sz w:val="18"/>
                <w:szCs w:val="18"/>
              </w:rPr>
            </w:pPr>
            <w:r w:rsidRPr="00477837">
              <w:rPr>
                <w:rFonts w:ascii="Arial" w:hAnsi="Arial" w:cs="Arial"/>
                <w:color w:val="000000"/>
                <w:sz w:val="18"/>
                <w:szCs w:val="18"/>
              </w:rPr>
              <w:t>Arboles evaluados en Bogotá D.C.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86F91FD" w14:textId="53ECC454" w:rsidR="00EA66AC"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B408A74" w14:textId="3D34BE21" w:rsidR="00EA66AC" w:rsidRPr="00AB6725" w:rsidRDefault="00477837" w:rsidP="00F316E4">
            <w:pPr>
              <w:ind w:left="131" w:right="124"/>
              <w:jc w:val="center"/>
              <w:rPr>
                <w:rFonts w:ascii="Arial" w:hAnsi="Arial" w:cs="Arial"/>
                <w:color w:val="000000"/>
                <w:sz w:val="18"/>
                <w:szCs w:val="18"/>
              </w:rPr>
            </w:pPr>
            <w:r>
              <w:rPr>
                <w:rFonts w:ascii="Arial" w:hAnsi="Arial" w:cs="Arial"/>
                <w:color w:val="000000"/>
                <w:sz w:val="18"/>
                <w:szCs w:val="18"/>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C3B11" w14:textId="2B6EDC3E" w:rsidR="00EA66AC" w:rsidRPr="00AB6725" w:rsidRDefault="00477837" w:rsidP="00F316E4">
            <w:pPr>
              <w:jc w:val="center"/>
              <w:rPr>
                <w:rFonts w:ascii="Arial" w:hAnsi="Arial" w:cs="Arial"/>
                <w:color w:val="000000"/>
                <w:sz w:val="18"/>
                <w:szCs w:val="18"/>
              </w:rPr>
            </w:pPr>
            <w:r>
              <w:rPr>
                <w:rFonts w:ascii="Arial" w:hAnsi="Arial" w:cs="Arial"/>
                <w:color w:val="000000"/>
                <w:sz w:val="18"/>
                <w:szCs w:val="18"/>
              </w:rPr>
              <w:t>559</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6E42B41E" w14:textId="570411B6" w:rsidR="00EA66AC"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37</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1004E4E7" w14:textId="52284F21" w:rsidR="00EA66AC"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E2B17" w14:textId="6F7080EC" w:rsidR="00EA66AC" w:rsidRPr="00AB6725" w:rsidRDefault="00477837" w:rsidP="00F316E4">
            <w:pPr>
              <w:jc w:val="center"/>
              <w:rPr>
                <w:rFonts w:ascii="Arial" w:hAnsi="Arial" w:cs="Arial"/>
                <w:color w:val="000000"/>
                <w:sz w:val="18"/>
                <w:szCs w:val="18"/>
              </w:rPr>
            </w:pPr>
            <w:r>
              <w:rPr>
                <w:rFonts w:ascii="Arial" w:hAnsi="Arial" w:cs="Arial"/>
                <w:color w:val="000000"/>
                <w:sz w:val="18"/>
                <w:szCs w:val="18"/>
              </w:rPr>
              <w:t>559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E57DB89" w14:textId="4A0ED911" w:rsidR="00EA66AC"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5.59</w:t>
            </w:r>
          </w:p>
        </w:tc>
      </w:tr>
      <w:tr w:rsidR="003248D7" w:rsidRPr="00AB6725" w14:paraId="55B78E0F" w14:textId="77777777" w:rsidTr="002A74F3">
        <w:trPr>
          <w:trHeight w:val="519"/>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E51ADFC" w14:textId="18D787E4" w:rsidR="003248D7" w:rsidRPr="00AB6725" w:rsidRDefault="00477837" w:rsidP="00F316E4">
            <w:pPr>
              <w:ind w:left="131" w:right="124"/>
              <w:jc w:val="both"/>
              <w:rPr>
                <w:rFonts w:ascii="Arial" w:hAnsi="Arial" w:cs="Arial"/>
                <w:color w:val="000000"/>
                <w:sz w:val="18"/>
                <w:szCs w:val="18"/>
              </w:rPr>
            </w:pPr>
            <w:r w:rsidRPr="00477837">
              <w:rPr>
                <w:rFonts w:ascii="Arial" w:hAnsi="Arial" w:cs="Arial"/>
                <w:color w:val="000000"/>
                <w:sz w:val="18"/>
                <w:szCs w:val="18"/>
              </w:rPr>
              <w:t>Operativos con acompañamiento técnico a la actividad de desmonte de los elementos de publicidad exterior visual por parte de la UAESP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8C6934" w14:textId="215F677D" w:rsidR="003248D7" w:rsidRPr="00AB6725" w:rsidRDefault="00A3779A" w:rsidP="00F316E4">
            <w:pPr>
              <w:ind w:left="131" w:right="124"/>
              <w:jc w:val="center"/>
              <w:rPr>
                <w:rFonts w:ascii="Arial" w:hAnsi="Arial" w:cs="Arial"/>
                <w:color w:val="000000"/>
                <w:sz w:val="18"/>
                <w:szCs w:val="18"/>
              </w:rPr>
            </w:pPr>
            <w:r>
              <w:rPr>
                <w:rFonts w:ascii="Arial" w:hAnsi="Arial" w:cs="Arial"/>
                <w:color w:val="000000"/>
                <w:sz w:val="18"/>
                <w:szCs w:val="18"/>
              </w:rPr>
              <w:t xml:space="preserve">UN </w:t>
            </w:r>
            <w:r w:rsidR="00477837">
              <w:rPr>
                <w:rFonts w:ascii="Arial" w:hAnsi="Arial" w:cs="Arial"/>
                <w:color w:val="000000"/>
                <w:sz w:val="18"/>
                <w:szCs w:val="18"/>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BAC9C66" w14:textId="6411EAAB" w:rsidR="003248D7" w:rsidRPr="00AB6725" w:rsidRDefault="00A3779A" w:rsidP="00F316E4">
            <w:pPr>
              <w:ind w:left="131" w:right="124"/>
              <w:jc w:val="center"/>
              <w:rPr>
                <w:rFonts w:ascii="Arial" w:hAnsi="Arial" w:cs="Arial"/>
                <w:color w:val="000000"/>
                <w:sz w:val="18"/>
                <w:szCs w:val="18"/>
              </w:rPr>
            </w:pPr>
            <w:r>
              <w:rPr>
                <w:rFonts w:ascii="Arial" w:hAnsi="Arial" w:cs="Arial"/>
                <w:color w:val="000000"/>
                <w:sz w:val="18"/>
                <w:szCs w:val="18"/>
              </w:rPr>
              <w:t xml:space="preserve">UN </w:t>
            </w:r>
            <w:r w:rsidR="00477837">
              <w:rPr>
                <w:rFonts w:ascii="Arial" w:hAnsi="Arial" w:cs="Arial"/>
                <w:color w:val="000000"/>
                <w:sz w:val="18"/>
                <w:szCs w:val="18"/>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F8CAD8" w14:textId="1E648E2C" w:rsidR="003248D7" w:rsidRPr="00AB6725" w:rsidRDefault="00A3779A" w:rsidP="00F316E4">
            <w:pPr>
              <w:jc w:val="center"/>
              <w:rPr>
                <w:rFonts w:ascii="Arial" w:hAnsi="Arial" w:cs="Arial"/>
                <w:color w:val="000000"/>
                <w:sz w:val="18"/>
                <w:szCs w:val="18"/>
              </w:rPr>
            </w:pPr>
            <w:r>
              <w:rPr>
                <w:rFonts w:ascii="Arial" w:hAnsi="Arial" w:cs="Arial"/>
                <w:color w:val="000000"/>
                <w:sz w:val="18"/>
                <w:szCs w:val="18"/>
              </w:rPr>
              <w:t xml:space="preserve">UN </w:t>
            </w:r>
            <w:r w:rsidR="00477837">
              <w:rPr>
                <w:rFonts w:ascii="Arial" w:hAnsi="Arial" w:cs="Arial"/>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4E8ABFD9" w14:textId="52D40A66" w:rsidR="003248D7"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tcPr>
          <w:p w14:paraId="3BEEB994" w14:textId="2B9FD95A" w:rsidR="003248D7"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52431F" w14:textId="12AEDE9E" w:rsidR="003248D7" w:rsidRPr="00AB6725" w:rsidRDefault="00A3779A" w:rsidP="00F316E4">
            <w:pPr>
              <w:jc w:val="center"/>
              <w:rPr>
                <w:rFonts w:ascii="Arial" w:hAnsi="Arial" w:cs="Arial"/>
                <w:color w:val="000000"/>
                <w:sz w:val="18"/>
                <w:szCs w:val="18"/>
              </w:rPr>
            </w:pPr>
            <w:r>
              <w:rPr>
                <w:rFonts w:ascii="Arial" w:hAnsi="Arial" w:cs="Arial"/>
                <w:color w:val="000000"/>
                <w:sz w:val="18"/>
                <w:szCs w:val="18"/>
              </w:rPr>
              <w:t xml:space="preserve">UN </w:t>
            </w:r>
            <w:r w:rsidR="00477837">
              <w:rPr>
                <w:rFonts w:ascii="Arial" w:hAnsi="Arial" w:cs="Arial"/>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EE5ECBA" w14:textId="039521D4" w:rsidR="003248D7" w:rsidRPr="00AB6725" w:rsidRDefault="00477837" w:rsidP="00F316E4">
            <w:pPr>
              <w:jc w:val="center"/>
              <w:rPr>
                <w:rFonts w:ascii="Arial" w:hAnsi="Arial" w:cs="Arial"/>
                <w:b/>
                <w:bCs/>
                <w:color w:val="000000"/>
                <w:sz w:val="18"/>
                <w:szCs w:val="18"/>
              </w:rPr>
            </w:pPr>
            <w:r>
              <w:rPr>
                <w:rFonts w:ascii="Arial" w:hAnsi="Arial" w:cs="Arial"/>
                <w:b/>
                <w:bCs/>
                <w:color w:val="000000"/>
                <w:sz w:val="18"/>
                <w:szCs w:val="18"/>
              </w:rPr>
              <w:t>0</w:t>
            </w:r>
          </w:p>
        </w:tc>
      </w:tr>
    </w:tbl>
    <w:p w14:paraId="7DA75FD0" w14:textId="77777777" w:rsidR="00BC3164" w:rsidRDefault="00BC3164" w:rsidP="00BB1EA5">
      <w:pPr>
        <w:rPr>
          <w:rFonts w:ascii="Arial" w:hAnsi="Arial" w:cs="Arial"/>
          <w:b/>
          <w:sz w:val="20"/>
          <w:szCs w:val="20"/>
          <w:u w:val="single"/>
        </w:rPr>
      </w:pPr>
    </w:p>
    <w:p w14:paraId="21BD1731" w14:textId="1AEE102B" w:rsidR="00BB1EA5" w:rsidRDefault="00BB1EA5" w:rsidP="00CB2230">
      <w:pPr>
        <w:pStyle w:val="Ttulo2"/>
        <w:numPr>
          <w:ilvl w:val="1"/>
          <w:numId w:val="7"/>
        </w:numPr>
        <w:jc w:val="center"/>
      </w:pPr>
      <w:bookmarkStart w:id="8" w:name="_Toc41378118"/>
      <w:r w:rsidRPr="000C1EC5">
        <w:lastRenderedPageBreak/>
        <w:t>Indicadores con ejecución del más del 100%</w:t>
      </w:r>
      <w:bookmarkEnd w:id="8"/>
    </w:p>
    <w:p w14:paraId="6E2F842C" w14:textId="77777777" w:rsidR="00C6711A" w:rsidRPr="00C6711A" w:rsidRDefault="00C6711A" w:rsidP="00C6711A"/>
    <w:p w14:paraId="2FEE6FDD" w14:textId="656D42BC" w:rsidR="00BB1EA5" w:rsidRPr="000C1EC5" w:rsidRDefault="00BB1EA5" w:rsidP="00F8148B">
      <w:pPr>
        <w:jc w:val="both"/>
        <w:rPr>
          <w:rFonts w:ascii="Arial" w:hAnsi="Arial" w:cs="Arial"/>
          <w:sz w:val="20"/>
          <w:szCs w:val="20"/>
        </w:rPr>
      </w:pPr>
      <w:r w:rsidRPr="000C1EC5">
        <w:rPr>
          <w:rFonts w:ascii="Arial" w:hAnsi="Arial" w:cs="Arial"/>
          <w:sz w:val="20"/>
          <w:szCs w:val="20"/>
        </w:rPr>
        <w:t xml:space="preserve">Para este periodo </w:t>
      </w:r>
      <w:r w:rsidR="00F075DA">
        <w:rPr>
          <w:rFonts w:ascii="Arial" w:hAnsi="Arial" w:cs="Arial"/>
          <w:sz w:val="20"/>
          <w:szCs w:val="20"/>
        </w:rPr>
        <w:t>tres  (3</w:t>
      </w:r>
      <w:r w:rsidRPr="000C1EC5">
        <w:rPr>
          <w:rFonts w:ascii="Arial" w:hAnsi="Arial" w:cs="Arial"/>
          <w:sz w:val="20"/>
          <w:szCs w:val="20"/>
        </w:rPr>
        <w:t>) indicadores presentan avance superior al 100% en sus actividades programadas acumuladas:</w:t>
      </w:r>
    </w:p>
    <w:tbl>
      <w:tblPr>
        <w:tblW w:w="11340" w:type="dxa"/>
        <w:tblInd w:w="-1139" w:type="dxa"/>
        <w:tblLayout w:type="fixed"/>
        <w:tblCellMar>
          <w:left w:w="227" w:type="dxa"/>
          <w:right w:w="227" w:type="dxa"/>
        </w:tblCellMar>
        <w:tblLook w:val="0600" w:firstRow="0" w:lastRow="0" w:firstColumn="0" w:lastColumn="0" w:noHBand="1" w:noVBand="1"/>
      </w:tblPr>
      <w:tblGrid>
        <w:gridCol w:w="1985"/>
        <w:gridCol w:w="1701"/>
        <w:gridCol w:w="1701"/>
        <w:gridCol w:w="1701"/>
        <w:gridCol w:w="850"/>
        <w:gridCol w:w="993"/>
        <w:gridCol w:w="1701"/>
        <w:gridCol w:w="708"/>
      </w:tblGrid>
      <w:tr w:rsidR="00BB1EA5" w:rsidRPr="00AB6725" w14:paraId="0D03DFC4" w14:textId="77777777" w:rsidTr="00DF4B5C">
        <w:trPr>
          <w:trHeight w:val="546"/>
          <w:tblHeader/>
        </w:trPr>
        <w:tc>
          <w:tcPr>
            <w:tcW w:w="1985"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69465011" w14:textId="77777777" w:rsidR="00BB1EA5" w:rsidRPr="002A74F3" w:rsidRDefault="00BB1EA5" w:rsidP="00954311">
            <w:pPr>
              <w:jc w:val="center"/>
              <w:rPr>
                <w:rFonts w:ascii="Arial" w:hAnsi="Arial" w:cs="Arial"/>
                <w:sz w:val="16"/>
                <w:szCs w:val="18"/>
                <w:lang w:val="es-CO"/>
              </w:rPr>
            </w:pPr>
            <w:r w:rsidRPr="002A74F3">
              <w:rPr>
                <w:rFonts w:ascii="Arial" w:hAnsi="Arial" w:cs="Arial"/>
                <w:b/>
                <w:bCs/>
                <w:sz w:val="16"/>
                <w:szCs w:val="18"/>
                <w:lang w:val="es-ES"/>
              </w:rPr>
              <w:t>Indicador</w:t>
            </w:r>
          </w:p>
        </w:tc>
        <w:tc>
          <w:tcPr>
            <w:tcW w:w="1701"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497A93C3" w14:textId="77777777" w:rsidR="00BB1EA5" w:rsidRPr="002A74F3" w:rsidRDefault="00BB1EA5" w:rsidP="00954311">
            <w:pPr>
              <w:jc w:val="center"/>
              <w:rPr>
                <w:rFonts w:ascii="Arial" w:hAnsi="Arial" w:cs="Arial"/>
                <w:sz w:val="16"/>
                <w:szCs w:val="18"/>
                <w:lang w:val="es-CO"/>
              </w:rPr>
            </w:pPr>
            <w:r w:rsidRPr="002A74F3">
              <w:rPr>
                <w:rFonts w:ascii="Arial" w:hAnsi="Arial" w:cs="Arial"/>
                <w:b/>
                <w:bCs/>
                <w:sz w:val="16"/>
                <w:szCs w:val="18"/>
                <w:lang w:val="es-ES"/>
              </w:rPr>
              <w:t>Meta anual</w:t>
            </w:r>
          </w:p>
        </w:tc>
        <w:tc>
          <w:tcPr>
            <w:tcW w:w="1701"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7E8375C7" w14:textId="77777777" w:rsidR="00BB1EA5" w:rsidRPr="002A74F3" w:rsidRDefault="00BB1EA5" w:rsidP="00954311">
            <w:pPr>
              <w:jc w:val="center"/>
              <w:rPr>
                <w:rFonts w:ascii="Arial" w:hAnsi="Arial" w:cs="Arial"/>
                <w:sz w:val="16"/>
                <w:szCs w:val="18"/>
                <w:lang w:val="es-CO"/>
              </w:rPr>
            </w:pPr>
            <w:r w:rsidRPr="002A74F3">
              <w:rPr>
                <w:rFonts w:ascii="Arial" w:hAnsi="Arial" w:cs="Arial"/>
                <w:b/>
                <w:bCs/>
                <w:sz w:val="16"/>
                <w:szCs w:val="18"/>
                <w:lang w:val="es-ES"/>
              </w:rPr>
              <w:t>Valor proyectado periodo</w:t>
            </w:r>
          </w:p>
        </w:tc>
        <w:tc>
          <w:tcPr>
            <w:tcW w:w="1701"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144A609C" w14:textId="77777777" w:rsidR="00BB1EA5" w:rsidRPr="002A74F3" w:rsidRDefault="00BB1EA5" w:rsidP="00954311">
            <w:pPr>
              <w:jc w:val="center"/>
              <w:rPr>
                <w:rFonts w:ascii="Arial" w:hAnsi="Arial" w:cs="Arial"/>
                <w:sz w:val="16"/>
                <w:szCs w:val="18"/>
                <w:lang w:val="es-CO"/>
              </w:rPr>
            </w:pPr>
            <w:r w:rsidRPr="002A74F3">
              <w:rPr>
                <w:rFonts w:ascii="Arial" w:hAnsi="Arial" w:cs="Arial"/>
                <w:b/>
                <w:bCs/>
                <w:sz w:val="16"/>
                <w:szCs w:val="18"/>
                <w:lang w:val="es-ES"/>
              </w:rPr>
              <w:t>Valor ejecutado periodo</w:t>
            </w:r>
          </w:p>
        </w:tc>
        <w:tc>
          <w:tcPr>
            <w:tcW w:w="850"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04690A55" w14:textId="77777777" w:rsidR="00BB1EA5" w:rsidRPr="002A74F3" w:rsidRDefault="00BB1EA5" w:rsidP="00954311">
            <w:pPr>
              <w:jc w:val="center"/>
              <w:rPr>
                <w:rFonts w:ascii="Arial" w:hAnsi="Arial" w:cs="Arial"/>
                <w:b/>
                <w:bCs/>
                <w:sz w:val="16"/>
                <w:szCs w:val="18"/>
                <w:lang w:val="es-ES"/>
              </w:rPr>
            </w:pPr>
            <w:r w:rsidRPr="002A74F3">
              <w:rPr>
                <w:rFonts w:ascii="Arial" w:hAnsi="Arial" w:cs="Arial"/>
                <w:b/>
                <w:bCs/>
                <w:sz w:val="16"/>
                <w:szCs w:val="18"/>
                <w:lang w:val="es-ES"/>
              </w:rPr>
              <w:t>% mensual</w:t>
            </w:r>
          </w:p>
          <w:p w14:paraId="4CBE0132" w14:textId="77777777" w:rsidR="00BB1EA5" w:rsidRPr="002A74F3" w:rsidRDefault="00BB1EA5" w:rsidP="00954311">
            <w:pPr>
              <w:jc w:val="center"/>
              <w:rPr>
                <w:rFonts w:ascii="Arial" w:hAnsi="Arial" w:cs="Arial"/>
                <w:b/>
                <w:sz w:val="16"/>
                <w:szCs w:val="18"/>
                <w:lang w:val="es-CO"/>
              </w:rPr>
            </w:pPr>
            <w:r w:rsidRPr="002A74F3">
              <w:rPr>
                <w:rFonts w:ascii="Arial" w:hAnsi="Arial" w:cs="Arial"/>
                <w:b/>
                <w:bCs/>
                <w:sz w:val="16"/>
                <w:szCs w:val="18"/>
                <w:lang w:val="es-ES"/>
              </w:rPr>
              <w:t>de avance</w:t>
            </w:r>
          </w:p>
        </w:tc>
        <w:tc>
          <w:tcPr>
            <w:tcW w:w="993"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3040BC59" w14:textId="77777777" w:rsidR="00BB1EA5" w:rsidRPr="002A74F3" w:rsidRDefault="00BB1EA5" w:rsidP="00954311">
            <w:pPr>
              <w:jc w:val="center"/>
              <w:rPr>
                <w:rFonts w:ascii="Arial" w:hAnsi="Arial" w:cs="Arial"/>
                <w:b/>
                <w:bCs/>
                <w:sz w:val="16"/>
                <w:szCs w:val="18"/>
                <w:lang w:val="es-ES"/>
              </w:rPr>
            </w:pPr>
            <w:r w:rsidRPr="002A74F3">
              <w:rPr>
                <w:rFonts w:ascii="Arial" w:hAnsi="Arial" w:cs="Arial"/>
                <w:b/>
                <w:bCs/>
                <w:sz w:val="16"/>
                <w:szCs w:val="18"/>
                <w:lang w:val="es-ES"/>
              </w:rPr>
              <w:t>%</w:t>
            </w:r>
          </w:p>
          <w:p w14:paraId="3E866C5D" w14:textId="77777777" w:rsidR="00BB1EA5" w:rsidRPr="002A74F3" w:rsidRDefault="00BB1EA5" w:rsidP="00954311">
            <w:pPr>
              <w:ind w:right="-15"/>
              <w:jc w:val="center"/>
              <w:rPr>
                <w:rFonts w:ascii="Arial" w:hAnsi="Arial" w:cs="Arial"/>
                <w:b/>
                <w:sz w:val="16"/>
                <w:szCs w:val="18"/>
                <w:lang w:val="es-CO"/>
              </w:rPr>
            </w:pPr>
            <w:r w:rsidRPr="002A74F3">
              <w:rPr>
                <w:rFonts w:ascii="Arial" w:hAnsi="Arial" w:cs="Arial"/>
                <w:b/>
                <w:bCs/>
                <w:sz w:val="16"/>
                <w:szCs w:val="18"/>
                <w:lang w:val="es-ES"/>
              </w:rPr>
              <w:t>Acumulado</w:t>
            </w:r>
          </w:p>
        </w:tc>
        <w:tc>
          <w:tcPr>
            <w:tcW w:w="1701"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45F7F0F2" w14:textId="77777777" w:rsidR="00BB1EA5" w:rsidRPr="002A74F3" w:rsidRDefault="00BB1EA5" w:rsidP="00954311">
            <w:pPr>
              <w:jc w:val="center"/>
              <w:rPr>
                <w:rFonts w:ascii="Arial" w:hAnsi="Arial" w:cs="Arial"/>
                <w:b/>
                <w:bCs/>
                <w:sz w:val="16"/>
                <w:szCs w:val="18"/>
                <w:lang w:val="es-ES"/>
              </w:rPr>
            </w:pPr>
            <w:r w:rsidRPr="002A74F3">
              <w:rPr>
                <w:rFonts w:ascii="Arial" w:hAnsi="Arial" w:cs="Arial"/>
                <w:b/>
                <w:bCs/>
                <w:sz w:val="16"/>
                <w:szCs w:val="18"/>
                <w:lang w:val="es-ES"/>
              </w:rPr>
              <w:t>Valor ejecutado</w:t>
            </w:r>
          </w:p>
          <w:p w14:paraId="53E3407D" w14:textId="77777777" w:rsidR="00BB1EA5" w:rsidRPr="002A74F3" w:rsidRDefault="00BB1EA5" w:rsidP="00954311">
            <w:pPr>
              <w:jc w:val="center"/>
              <w:rPr>
                <w:rFonts w:ascii="Arial" w:hAnsi="Arial" w:cs="Arial"/>
                <w:b/>
                <w:sz w:val="16"/>
                <w:szCs w:val="18"/>
                <w:lang w:val="es-CO"/>
              </w:rPr>
            </w:pPr>
            <w:r w:rsidRPr="002A74F3">
              <w:rPr>
                <w:rFonts w:ascii="Arial" w:hAnsi="Arial" w:cs="Arial"/>
                <w:b/>
                <w:bCs/>
                <w:sz w:val="16"/>
                <w:szCs w:val="18"/>
                <w:lang w:val="es-ES"/>
              </w:rPr>
              <w:t>anual</w:t>
            </w:r>
          </w:p>
        </w:tc>
        <w:tc>
          <w:tcPr>
            <w:tcW w:w="708" w:type="dxa"/>
            <w:tcBorders>
              <w:top w:val="single" w:sz="4" w:space="0" w:color="000000"/>
              <w:left w:val="single" w:sz="4" w:space="0" w:color="000000"/>
              <w:bottom w:val="single" w:sz="4" w:space="0" w:color="000000"/>
              <w:right w:val="single" w:sz="4" w:space="0" w:color="000000"/>
            </w:tcBorders>
            <w:shd w:val="clear" w:color="auto" w:fill="F0EBDD"/>
            <w:tcMar>
              <w:top w:w="15" w:type="dxa"/>
              <w:left w:w="15" w:type="dxa"/>
              <w:bottom w:w="0" w:type="dxa"/>
              <w:right w:w="15" w:type="dxa"/>
            </w:tcMar>
            <w:vAlign w:val="center"/>
            <w:hideMark/>
          </w:tcPr>
          <w:p w14:paraId="502DEDAD" w14:textId="77777777" w:rsidR="00BB1EA5" w:rsidRPr="002A74F3" w:rsidRDefault="00BB1EA5" w:rsidP="00954311">
            <w:pPr>
              <w:jc w:val="center"/>
              <w:rPr>
                <w:rFonts w:ascii="Arial" w:hAnsi="Arial" w:cs="Arial"/>
                <w:b/>
                <w:sz w:val="16"/>
                <w:szCs w:val="18"/>
                <w:lang w:val="es-CO"/>
              </w:rPr>
            </w:pPr>
            <w:r w:rsidRPr="002A74F3">
              <w:rPr>
                <w:rFonts w:ascii="Arial" w:hAnsi="Arial" w:cs="Arial"/>
                <w:b/>
                <w:bCs/>
                <w:sz w:val="16"/>
                <w:szCs w:val="18"/>
                <w:lang w:val="es-ES"/>
              </w:rPr>
              <w:t>% avance anual</w:t>
            </w:r>
          </w:p>
        </w:tc>
      </w:tr>
      <w:tr w:rsidR="00BB1EA5" w:rsidRPr="00AB6725" w14:paraId="0A3EDA18" w14:textId="77777777" w:rsidTr="00DF4B5C">
        <w:trPr>
          <w:trHeight w:val="21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8AC147A" w14:textId="616F4CA4" w:rsidR="00BB1EA5" w:rsidRPr="00AB6725" w:rsidRDefault="00C40BB7" w:rsidP="00954311">
            <w:pPr>
              <w:ind w:left="131" w:right="124"/>
              <w:jc w:val="center"/>
              <w:rPr>
                <w:rFonts w:ascii="Arial" w:hAnsi="Arial" w:cs="Arial"/>
                <w:color w:val="000000"/>
                <w:sz w:val="18"/>
                <w:szCs w:val="18"/>
              </w:rPr>
            </w:pPr>
            <w:r w:rsidRPr="00C40BB7">
              <w:rPr>
                <w:rFonts w:ascii="Arial" w:hAnsi="Arial" w:cs="Arial"/>
                <w:color w:val="000000"/>
                <w:sz w:val="18"/>
                <w:szCs w:val="18"/>
              </w:rPr>
              <w:t>Seguimiento a los gastos de funcionamiento 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C9A87F4" w14:textId="42D37D13" w:rsidR="00BB1EA5" w:rsidRPr="00AB6725" w:rsidRDefault="00C40BB7" w:rsidP="00954311">
            <w:pPr>
              <w:ind w:left="131" w:right="124"/>
              <w:jc w:val="center"/>
              <w:rPr>
                <w:rFonts w:ascii="Arial" w:hAnsi="Arial" w:cs="Arial"/>
                <w:color w:val="000000"/>
                <w:sz w:val="18"/>
                <w:szCs w:val="18"/>
              </w:rPr>
            </w:pPr>
            <w:r>
              <w:rPr>
                <w:rFonts w:ascii="Arial" w:hAnsi="Arial" w:cs="Arial"/>
                <w:color w:val="000000"/>
                <w:sz w:val="18"/>
                <w:szCs w:val="18"/>
              </w:rPr>
              <w:t xml:space="preserve">$ </w:t>
            </w:r>
            <w:r w:rsidRPr="00C40BB7">
              <w:rPr>
                <w:rFonts w:ascii="Arial" w:hAnsi="Arial" w:cs="Arial"/>
                <w:color w:val="000000"/>
                <w:sz w:val="18"/>
                <w:szCs w:val="18"/>
              </w:rPr>
              <w:t>8.100.000.000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F5E6A3E" w14:textId="6F6646C7" w:rsidR="00BB1EA5" w:rsidRPr="00AB6725" w:rsidRDefault="00C40BB7" w:rsidP="00954311">
            <w:pPr>
              <w:ind w:left="131" w:right="124"/>
              <w:jc w:val="center"/>
              <w:rPr>
                <w:rFonts w:ascii="Arial" w:hAnsi="Arial" w:cs="Arial"/>
                <w:color w:val="000000"/>
                <w:sz w:val="18"/>
                <w:szCs w:val="18"/>
              </w:rPr>
            </w:pPr>
            <w:r>
              <w:rPr>
                <w:rFonts w:ascii="Arial" w:hAnsi="Arial" w:cs="Arial"/>
                <w:color w:val="000000"/>
                <w:sz w:val="18"/>
                <w:szCs w:val="18"/>
              </w:rPr>
              <w:t xml:space="preserve">$ </w:t>
            </w:r>
            <w:r w:rsidRPr="00C40BB7">
              <w:rPr>
                <w:rFonts w:ascii="Arial" w:hAnsi="Arial" w:cs="Arial"/>
                <w:color w:val="000000"/>
                <w:sz w:val="18"/>
                <w:szCs w:val="18"/>
              </w:rPr>
              <w:t>1.786.923.729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41E94C2" w14:textId="5C647D7F" w:rsidR="00BB1EA5" w:rsidRPr="00AB6725" w:rsidRDefault="007E63AB" w:rsidP="00954311">
            <w:pPr>
              <w:ind w:left="131" w:right="124"/>
              <w:jc w:val="center"/>
              <w:rPr>
                <w:rFonts w:ascii="Arial" w:hAnsi="Arial" w:cs="Arial"/>
                <w:color w:val="000000"/>
                <w:sz w:val="18"/>
                <w:szCs w:val="18"/>
              </w:rPr>
            </w:pPr>
            <w:r>
              <w:rPr>
                <w:rFonts w:ascii="Arial" w:hAnsi="Arial" w:cs="Arial"/>
                <w:color w:val="000000"/>
                <w:sz w:val="18"/>
                <w:szCs w:val="18"/>
              </w:rPr>
              <w:t xml:space="preserve">$ </w:t>
            </w:r>
            <w:r w:rsidR="00A716C3" w:rsidRPr="00A716C3">
              <w:rPr>
                <w:rFonts w:ascii="Arial" w:hAnsi="Arial" w:cs="Arial"/>
                <w:color w:val="000000"/>
                <w:sz w:val="18"/>
                <w:szCs w:val="18"/>
              </w:rPr>
              <w:t>2</w:t>
            </w:r>
            <w:r w:rsidR="00DF4B5C">
              <w:rPr>
                <w:rFonts w:ascii="Arial" w:hAnsi="Arial" w:cs="Arial"/>
                <w:color w:val="000000"/>
                <w:sz w:val="18"/>
                <w:szCs w:val="18"/>
              </w:rPr>
              <w:t>.</w:t>
            </w:r>
            <w:r w:rsidR="00A716C3" w:rsidRPr="00A716C3">
              <w:rPr>
                <w:rFonts w:ascii="Arial" w:hAnsi="Arial" w:cs="Arial"/>
                <w:color w:val="000000"/>
                <w:sz w:val="18"/>
                <w:szCs w:val="18"/>
              </w:rPr>
              <w:t>472</w:t>
            </w:r>
            <w:r w:rsidR="00DF4B5C">
              <w:rPr>
                <w:rFonts w:ascii="Arial" w:hAnsi="Arial" w:cs="Arial"/>
                <w:color w:val="000000"/>
                <w:sz w:val="18"/>
                <w:szCs w:val="18"/>
              </w:rPr>
              <w:t>.</w:t>
            </w:r>
            <w:r w:rsidR="00A716C3" w:rsidRPr="00A716C3">
              <w:rPr>
                <w:rFonts w:ascii="Arial" w:hAnsi="Arial" w:cs="Arial"/>
                <w:color w:val="000000"/>
                <w:sz w:val="18"/>
                <w:szCs w:val="18"/>
              </w:rPr>
              <w:t>871</w:t>
            </w:r>
            <w:r w:rsidR="00DF4B5C">
              <w:rPr>
                <w:rFonts w:ascii="Arial" w:hAnsi="Arial" w:cs="Arial"/>
                <w:color w:val="000000"/>
                <w:sz w:val="18"/>
                <w:szCs w:val="18"/>
              </w:rPr>
              <w:t>.</w:t>
            </w:r>
            <w:r w:rsidR="00A716C3" w:rsidRPr="00A716C3">
              <w:rPr>
                <w:rFonts w:ascii="Arial" w:hAnsi="Arial" w:cs="Arial"/>
                <w:color w:val="000000"/>
                <w:sz w:val="18"/>
                <w:szCs w:val="18"/>
              </w:rPr>
              <w:t>573</w:t>
            </w:r>
          </w:p>
        </w:tc>
        <w:tc>
          <w:tcPr>
            <w:tcW w:w="850"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443D8DD9" w14:textId="165D0F09" w:rsidR="00BB1EA5" w:rsidRPr="00AB6725" w:rsidRDefault="00A4578A" w:rsidP="00954311">
            <w:pPr>
              <w:ind w:left="131" w:right="124"/>
              <w:jc w:val="center"/>
              <w:rPr>
                <w:rFonts w:ascii="Arial" w:hAnsi="Arial" w:cs="Arial"/>
                <w:b/>
                <w:bCs/>
                <w:color w:val="000000"/>
                <w:sz w:val="18"/>
                <w:szCs w:val="18"/>
              </w:rPr>
            </w:pPr>
            <w:r>
              <w:rPr>
                <w:rFonts w:ascii="Arial" w:hAnsi="Arial" w:cs="Arial"/>
                <w:b/>
                <w:bCs/>
                <w:color w:val="000000"/>
                <w:sz w:val="18"/>
                <w:szCs w:val="18"/>
              </w:rPr>
              <w:t>138</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0877A097" w14:textId="0B169B66" w:rsidR="00BB1EA5" w:rsidRPr="00AB6725" w:rsidRDefault="00A4578A" w:rsidP="00954311">
            <w:pPr>
              <w:jc w:val="center"/>
              <w:rPr>
                <w:rFonts w:ascii="Arial" w:hAnsi="Arial" w:cs="Arial"/>
                <w:b/>
                <w:bCs/>
                <w:color w:val="000000"/>
                <w:sz w:val="18"/>
                <w:szCs w:val="18"/>
              </w:rPr>
            </w:pPr>
            <w:r>
              <w:rPr>
                <w:rFonts w:ascii="Arial" w:hAnsi="Arial" w:cs="Arial"/>
                <w:b/>
                <w:bCs/>
                <w:color w:val="000000"/>
                <w:sz w:val="18"/>
                <w:szCs w:val="18"/>
              </w:rPr>
              <w:t>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5883C4" w14:textId="33004F59" w:rsidR="00BB1EA5" w:rsidRPr="00AB6725" w:rsidRDefault="00A4578A" w:rsidP="00954311">
            <w:pPr>
              <w:ind w:left="131" w:right="124"/>
              <w:jc w:val="center"/>
              <w:rPr>
                <w:rFonts w:ascii="Arial" w:hAnsi="Arial" w:cs="Arial"/>
                <w:color w:val="000000"/>
                <w:sz w:val="18"/>
                <w:szCs w:val="18"/>
              </w:rPr>
            </w:pPr>
            <w:r>
              <w:rPr>
                <w:rFonts w:ascii="Arial" w:hAnsi="Arial" w:cs="Arial"/>
                <w:color w:val="000000"/>
                <w:sz w:val="18"/>
                <w:szCs w:val="18"/>
              </w:rPr>
              <w:t xml:space="preserve">$ </w:t>
            </w:r>
            <w:r w:rsidRPr="00A4578A">
              <w:rPr>
                <w:rFonts w:ascii="Arial" w:hAnsi="Arial" w:cs="Arial"/>
                <w:color w:val="000000"/>
                <w:sz w:val="18"/>
                <w:szCs w:val="18"/>
              </w:rPr>
              <w:t>3.143.386.432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C3D7EA" w14:textId="5112813D" w:rsidR="00BB1EA5" w:rsidRPr="00AB6725" w:rsidRDefault="00A4578A" w:rsidP="00954311">
            <w:pPr>
              <w:ind w:left="-10"/>
              <w:jc w:val="center"/>
              <w:rPr>
                <w:rFonts w:ascii="Arial" w:hAnsi="Arial" w:cs="Arial"/>
                <w:color w:val="000000"/>
                <w:sz w:val="18"/>
                <w:szCs w:val="18"/>
              </w:rPr>
            </w:pPr>
            <w:r>
              <w:rPr>
                <w:rFonts w:ascii="Arial" w:hAnsi="Arial" w:cs="Arial"/>
                <w:color w:val="000000"/>
                <w:sz w:val="18"/>
                <w:szCs w:val="18"/>
              </w:rPr>
              <w:t>38</w:t>
            </w:r>
          </w:p>
        </w:tc>
      </w:tr>
      <w:tr w:rsidR="00BB1EA5" w:rsidRPr="00AB6725" w14:paraId="410591FE" w14:textId="77777777" w:rsidTr="00DF4B5C">
        <w:trPr>
          <w:trHeight w:val="33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417308" w14:textId="484580DC" w:rsidR="00BB1EA5" w:rsidRPr="00AB6725" w:rsidRDefault="00A4578A" w:rsidP="00954311">
            <w:pPr>
              <w:ind w:left="131" w:right="124"/>
              <w:jc w:val="center"/>
              <w:rPr>
                <w:rFonts w:ascii="Arial" w:hAnsi="Arial" w:cs="Arial"/>
                <w:color w:val="000000"/>
                <w:sz w:val="18"/>
                <w:szCs w:val="18"/>
              </w:rPr>
            </w:pPr>
            <w:r w:rsidRPr="00A4578A">
              <w:rPr>
                <w:rFonts w:ascii="Arial" w:hAnsi="Arial" w:cs="Arial"/>
                <w:color w:val="000000"/>
                <w:sz w:val="18"/>
                <w:szCs w:val="18"/>
              </w:rPr>
              <w:t>Eficiencia en la atención de solicitudes en la Subdirección de Silvicultura. Flora y Fauna Silvestre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E6C91A" w14:textId="2D6D40FA" w:rsidR="00BB1EA5" w:rsidRPr="00AB6725" w:rsidRDefault="00A4578A" w:rsidP="00954311">
            <w:pPr>
              <w:ind w:left="131" w:right="124"/>
              <w:jc w:val="center"/>
              <w:rPr>
                <w:rFonts w:ascii="Arial" w:hAnsi="Arial" w:cs="Arial"/>
                <w:color w:val="000000"/>
                <w:sz w:val="18"/>
                <w:szCs w:val="18"/>
              </w:rPr>
            </w:pPr>
            <w:r>
              <w:rPr>
                <w:rFonts w:ascii="Arial" w:hAnsi="Arial" w:cs="Arial"/>
                <w:color w:val="000000"/>
                <w:sz w:val="18"/>
                <w:szCs w:val="18"/>
              </w:rPr>
              <w:t>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DBDEA6C" w14:textId="5362947B" w:rsidR="00BB1EA5" w:rsidRPr="00AB6725" w:rsidRDefault="00A4578A" w:rsidP="00954311">
            <w:pPr>
              <w:ind w:left="131" w:right="124"/>
              <w:jc w:val="center"/>
              <w:rPr>
                <w:rFonts w:ascii="Arial" w:hAnsi="Arial" w:cs="Arial"/>
                <w:color w:val="000000"/>
                <w:sz w:val="18"/>
                <w:szCs w:val="18"/>
              </w:rPr>
            </w:pPr>
            <w:r>
              <w:rPr>
                <w:rFonts w:ascii="Arial" w:hAnsi="Arial" w:cs="Arial"/>
                <w:color w:val="000000"/>
                <w:sz w:val="18"/>
                <w:szCs w:val="18"/>
              </w:rPr>
              <w:t>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D7145D" w14:textId="07E70E79" w:rsidR="00BB1EA5" w:rsidRPr="00AB6725" w:rsidRDefault="00A4578A" w:rsidP="00954311">
            <w:pPr>
              <w:ind w:left="-15"/>
              <w:jc w:val="center"/>
              <w:rPr>
                <w:rFonts w:ascii="Arial" w:hAnsi="Arial" w:cs="Arial"/>
                <w:color w:val="000000"/>
                <w:sz w:val="18"/>
                <w:szCs w:val="18"/>
              </w:rPr>
            </w:pPr>
            <w:r>
              <w:rPr>
                <w:rFonts w:ascii="Arial" w:hAnsi="Arial" w:cs="Arial"/>
                <w:color w:val="000000"/>
                <w:sz w:val="18"/>
                <w:szCs w:val="18"/>
              </w:rPr>
              <w:t>4.75</w:t>
            </w:r>
          </w:p>
        </w:tc>
        <w:tc>
          <w:tcPr>
            <w:tcW w:w="850"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0B35198B" w14:textId="4622FEFD" w:rsidR="00BB1EA5" w:rsidRPr="00AB6725" w:rsidRDefault="00A4578A" w:rsidP="00954311">
            <w:pPr>
              <w:ind w:left="131" w:right="124"/>
              <w:jc w:val="center"/>
              <w:rPr>
                <w:rFonts w:ascii="Arial" w:hAnsi="Arial" w:cs="Arial"/>
                <w:b/>
                <w:bCs/>
                <w:color w:val="000000"/>
                <w:sz w:val="18"/>
                <w:szCs w:val="18"/>
              </w:rPr>
            </w:pPr>
            <w:r>
              <w:rPr>
                <w:rFonts w:ascii="Arial" w:hAnsi="Arial" w:cs="Arial"/>
                <w:b/>
                <w:bCs/>
                <w:color w:val="000000"/>
                <w:sz w:val="18"/>
                <w:szCs w:val="18"/>
              </w:rPr>
              <w:t>114</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0F21903D" w14:textId="479D113E" w:rsidR="00BB1EA5" w:rsidRPr="00AB6725" w:rsidRDefault="00A4578A" w:rsidP="00954311">
            <w:pPr>
              <w:jc w:val="center"/>
              <w:rPr>
                <w:rFonts w:ascii="Arial" w:hAnsi="Arial" w:cs="Arial"/>
                <w:b/>
                <w:bCs/>
                <w:color w:val="000000"/>
                <w:sz w:val="18"/>
                <w:szCs w:val="18"/>
              </w:rPr>
            </w:pPr>
            <w:r>
              <w:rPr>
                <w:rFonts w:ascii="Arial" w:hAnsi="Arial" w:cs="Arial"/>
                <w:b/>
                <w:bCs/>
                <w:color w:val="000000"/>
                <w:sz w:val="18"/>
                <w:szCs w:val="18"/>
              </w:rPr>
              <w:t>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A7241E" w14:textId="6FAB4F7D" w:rsidR="00BB1EA5" w:rsidRPr="00AB6725" w:rsidRDefault="00A4578A" w:rsidP="00954311">
            <w:pPr>
              <w:ind w:left="-15"/>
              <w:jc w:val="center"/>
              <w:rPr>
                <w:rFonts w:ascii="Arial" w:hAnsi="Arial" w:cs="Arial"/>
                <w:color w:val="000000"/>
                <w:sz w:val="18"/>
                <w:szCs w:val="18"/>
              </w:rPr>
            </w:pPr>
            <w:r>
              <w:rPr>
                <w:rFonts w:ascii="Arial" w:hAnsi="Arial" w:cs="Arial"/>
                <w:color w:val="000000"/>
                <w:sz w:val="18"/>
                <w:szCs w:val="18"/>
              </w:rPr>
              <w:t>4.75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8214FF7" w14:textId="1F089485" w:rsidR="00BB1EA5" w:rsidRPr="00AB6725" w:rsidRDefault="00BA094A" w:rsidP="00954311">
            <w:pPr>
              <w:ind w:left="-10"/>
              <w:jc w:val="center"/>
              <w:rPr>
                <w:rFonts w:ascii="Arial" w:hAnsi="Arial" w:cs="Arial"/>
                <w:color w:val="000000"/>
                <w:sz w:val="18"/>
                <w:szCs w:val="18"/>
              </w:rPr>
            </w:pPr>
            <w:r>
              <w:rPr>
                <w:rFonts w:ascii="Arial" w:hAnsi="Arial" w:cs="Arial"/>
                <w:color w:val="000000"/>
                <w:sz w:val="18"/>
                <w:szCs w:val="18"/>
              </w:rPr>
              <w:t>114</w:t>
            </w:r>
          </w:p>
        </w:tc>
      </w:tr>
      <w:tr w:rsidR="00BB1EA5" w:rsidRPr="00AB6725" w14:paraId="0E0F1934" w14:textId="77777777" w:rsidTr="00DF4B5C">
        <w:trPr>
          <w:trHeight w:val="22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BEA042" w14:textId="52D8D4AB" w:rsidR="00BB1EA5" w:rsidRPr="00AB6725" w:rsidRDefault="00BA094A" w:rsidP="00954311">
            <w:pPr>
              <w:ind w:left="131" w:right="124"/>
              <w:jc w:val="center"/>
              <w:rPr>
                <w:rFonts w:ascii="Arial" w:hAnsi="Arial" w:cs="Arial"/>
                <w:color w:val="000000"/>
                <w:sz w:val="18"/>
                <w:szCs w:val="18"/>
              </w:rPr>
            </w:pPr>
            <w:r w:rsidRPr="00BA094A">
              <w:rPr>
                <w:rFonts w:ascii="Arial" w:hAnsi="Arial" w:cs="Arial"/>
                <w:color w:val="000000"/>
                <w:sz w:val="18"/>
                <w:szCs w:val="18"/>
              </w:rPr>
              <w:t>Eficacia en la atención de requerimientos e incidentes atención de TI por mesa de servicios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516B56D" w14:textId="63637544" w:rsidR="00BB1EA5" w:rsidRPr="00AB6725" w:rsidRDefault="00BA094A" w:rsidP="00954311">
            <w:pPr>
              <w:ind w:left="131" w:right="124"/>
              <w:jc w:val="center"/>
              <w:rPr>
                <w:rFonts w:ascii="Arial" w:hAnsi="Arial" w:cs="Arial"/>
                <w:color w:val="000000"/>
                <w:sz w:val="18"/>
                <w:szCs w:val="18"/>
              </w:rPr>
            </w:pPr>
            <w:r>
              <w:rPr>
                <w:rFonts w:ascii="Arial" w:hAnsi="Arial" w:cs="Arial"/>
                <w:color w:val="000000"/>
                <w:sz w:val="18"/>
                <w:szCs w:val="18"/>
              </w:rPr>
              <w:t>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3B124E" w14:textId="5CB489F5" w:rsidR="00BB1EA5" w:rsidRPr="00AB6725" w:rsidRDefault="00BA094A" w:rsidP="00954311">
            <w:pPr>
              <w:ind w:left="131" w:right="124"/>
              <w:jc w:val="center"/>
              <w:rPr>
                <w:rFonts w:ascii="Arial" w:hAnsi="Arial" w:cs="Arial"/>
                <w:color w:val="000000"/>
                <w:sz w:val="18"/>
                <w:szCs w:val="18"/>
              </w:rPr>
            </w:pPr>
            <w:r>
              <w:rPr>
                <w:rFonts w:ascii="Arial" w:hAnsi="Arial" w:cs="Arial"/>
                <w:color w:val="000000"/>
                <w:sz w:val="18"/>
                <w:szCs w:val="18"/>
              </w:rPr>
              <w:t>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C3A0FE7" w14:textId="2AF7C891" w:rsidR="00BB1EA5" w:rsidRPr="00AB6725" w:rsidRDefault="00BA094A" w:rsidP="00954311">
            <w:pPr>
              <w:ind w:left="-7"/>
              <w:jc w:val="center"/>
              <w:rPr>
                <w:rFonts w:ascii="Arial" w:hAnsi="Arial" w:cs="Arial"/>
                <w:color w:val="000000"/>
                <w:sz w:val="18"/>
                <w:szCs w:val="18"/>
              </w:rPr>
            </w:pPr>
            <w:r>
              <w:rPr>
                <w:rFonts w:ascii="Arial" w:hAnsi="Arial" w:cs="Arial"/>
                <w:color w:val="000000"/>
                <w:sz w:val="18"/>
                <w:szCs w:val="18"/>
              </w:rPr>
              <w:t>98.79%</w:t>
            </w:r>
          </w:p>
        </w:tc>
        <w:tc>
          <w:tcPr>
            <w:tcW w:w="850"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5A80FB64" w14:textId="241C527E" w:rsidR="00BB1EA5" w:rsidRPr="00AB6725" w:rsidRDefault="00BA094A" w:rsidP="00954311">
            <w:pPr>
              <w:jc w:val="center"/>
              <w:rPr>
                <w:rFonts w:ascii="Arial" w:hAnsi="Arial" w:cs="Arial"/>
                <w:b/>
                <w:bCs/>
                <w:color w:val="000000"/>
                <w:sz w:val="18"/>
                <w:szCs w:val="18"/>
              </w:rPr>
            </w:pPr>
            <w:r>
              <w:rPr>
                <w:rFonts w:ascii="Arial" w:hAnsi="Arial" w:cs="Arial"/>
                <w:b/>
                <w:bCs/>
                <w:color w:val="000000"/>
                <w:sz w:val="18"/>
                <w:szCs w:val="18"/>
              </w:rPr>
              <w:t>116</w:t>
            </w:r>
          </w:p>
        </w:tc>
        <w:tc>
          <w:tcPr>
            <w:tcW w:w="993" w:type="dxa"/>
            <w:tcBorders>
              <w:top w:val="single" w:sz="4" w:space="0" w:color="000000"/>
              <w:left w:val="single" w:sz="4" w:space="0" w:color="000000"/>
              <w:bottom w:val="single" w:sz="4" w:space="0" w:color="000000"/>
              <w:right w:val="single" w:sz="4" w:space="0" w:color="000000"/>
            </w:tcBorders>
            <w:shd w:val="clear" w:color="auto" w:fill="99FF33"/>
            <w:tcMar>
              <w:top w:w="15" w:type="dxa"/>
              <w:left w:w="15" w:type="dxa"/>
              <w:bottom w:w="0" w:type="dxa"/>
              <w:right w:w="15" w:type="dxa"/>
            </w:tcMar>
            <w:vAlign w:val="center"/>
          </w:tcPr>
          <w:p w14:paraId="21390984" w14:textId="6D95738D" w:rsidR="00BB1EA5" w:rsidRPr="00AB6725" w:rsidRDefault="00BA094A" w:rsidP="00954311">
            <w:pPr>
              <w:jc w:val="center"/>
              <w:rPr>
                <w:rFonts w:ascii="Arial" w:hAnsi="Arial" w:cs="Arial"/>
                <w:b/>
                <w:bCs/>
                <w:color w:val="000000"/>
                <w:sz w:val="18"/>
                <w:szCs w:val="18"/>
              </w:rPr>
            </w:pPr>
            <w:r>
              <w:rPr>
                <w:rFonts w:ascii="Arial" w:hAnsi="Arial" w:cs="Arial"/>
                <w:b/>
                <w:bCs/>
                <w:color w:val="000000"/>
                <w:sz w:val="18"/>
                <w:szCs w:val="18"/>
              </w:rPr>
              <w:t>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42ECCCB" w14:textId="197EE8E1" w:rsidR="00BB1EA5" w:rsidRPr="00AB6725" w:rsidRDefault="00BA094A" w:rsidP="00954311">
            <w:pPr>
              <w:jc w:val="center"/>
              <w:rPr>
                <w:rFonts w:ascii="Arial" w:hAnsi="Arial" w:cs="Arial"/>
                <w:color w:val="000000"/>
                <w:sz w:val="18"/>
                <w:szCs w:val="18"/>
              </w:rPr>
            </w:pPr>
            <w:r>
              <w:rPr>
                <w:rFonts w:ascii="Arial" w:hAnsi="Arial" w:cs="Arial"/>
                <w:color w:val="000000"/>
                <w:sz w:val="18"/>
                <w:szCs w:val="18"/>
              </w:rPr>
              <w:t>98.79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73584C" w14:textId="34B8AE92" w:rsidR="00BB1EA5" w:rsidRPr="00AB6725" w:rsidRDefault="00BA094A" w:rsidP="00954311">
            <w:pPr>
              <w:ind w:left="-10"/>
              <w:jc w:val="center"/>
              <w:rPr>
                <w:rFonts w:ascii="Arial" w:hAnsi="Arial" w:cs="Arial"/>
                <w:b/>
                <w:bCs/>
                <w:color w:val="000000"/>
                <w:sz w:val="18"/>
                <w:szCs w:val="18"/>
              </w:rPr>
            </w:pPr>
            <w:r>
              <w:rPr>
                <w:rFonts w:ascii="Arial" w:hAnsi="Arial" w:cs="Arial"/>
                <w:b/>
                <w:bCs/>
                <w:color w:val="000000"/>
                <w:sz w:val="18"/>
                <w:szCs w:val="18"/>
              </w:rPr>
              <w:t>116</w:t>
            </w:r>
          </w:p>
        </w:tc>
      </w:tr>
    </w:tbl>
    <w:p w14:paraId="11490133" w14:textId="65A1148D" w:rsidR="00BC3164" w:rsidRDefault="00BC3164" w:rsidP="00BB1EA5">
      <w:pPr>
        <w:rPr>
          <w:rFonts w:ascii="Arial" w:hAnsi="Arial" w:cs="Arial"/>
          <w:b/>
          <w:sz w:val="20"/>
          <w:szCs w:val="20"/>
          <w:u w:val="single"/>
        </w:rPr>
      </w:pPr>
    </w:p>
    <w:p w14:paraId="30F991B9" w14:textId="165ACFB0" w:rsidR="00BC3164" w:rsidRPr="00DF4B5C" w:rsidRDefault="00DF4B5C" w:rsidP="00A3779A">
      <w:pPr>
        <w:jc w:val="both"/>
        <w:rPr>
          <w:rFonts w:ascii="Arial" w:hAnsi="Arial" w:cs="Arial"/>
          <w:sz w:val="20"/>
          <w:szCs w:val="20"/>
        </w:rPr>
      </w:pPr>
      <w:r>
        <w:rPr>
          <w:rFonts w:ascii="Arial" w:hAnsi="Arial" w:cs="Arial"/>
          <w:sz w:val="20"/>
          <w:szCs w:val="20"/>
        </w:rPr>
        <w:t xml:space="preserve">Para el mes de abril se puede evidenciar sobre cumplimiento del valor proyectado para el periodo en tres (3) indicadores, lo que significa novedades en  la planeación de la  meta para el periodo </w:t>
      </w:r>
      <w:r w:rsidR="00A3779A">
        <w:rPr>
          <w:rFonts w:ascii="Arial" w:hAnsi="Arial" w:cs="Arial"/>
          <w:sz w:val="20"/>
          <w:szCs w:val="20"/>
        </w:rPr>
        <w:t>evaluado.</w:t>
      </w:r>
    </w:p>
    <w:p w14:paraId="2BA62155" w14:textId="786101B5" w:rsidR="00F075DA" w:rsidRDefault="00F075DA" w:rsidP="00BB1EA5">
      <w:pPr>
        <w:rPr>
          <w:rFonts w:ascii="Arial" w:hAnsi="Arial" w:cs="Arial"/>
          <w:b/>
          <w:sz w:val="20"/>
          <w:szCs w:val="20"/>
          <w:u w:val="single"/>
        </w:rPr>
      </w:pPr>
    </w:p>
    <w:p w14:paraId="7158266B" w14:textId="7118BC51" w:rsidR="000616FC" w:rsidRDefault="000616FC" w:rsidP="00BB1EA5">
      <w:pPr>
        <w:rPr>
          <w:rFonts w:ascii="Arial" w:hAnsi="Arial" w:cs="Arial"/>
          <w:b/>
          <w:sz w:val="20"/>
          <w:szCs w:val="20"/>
          <w:u w:val="single"/>
        </w:rPr>
      </w:pPr>
    </w:p>
    <w:p w14:paraId="0B583CA3" w14:textId="0ECB3D45" w:rsidR="00F075DA" w:rsidRDefault="00F075DA" w:rsidP="00BB1EA5">
      <w:pPr>
        <w:rPr>
          <w:rFonts w:ascii="Arial" w:hAnsi="Arial" w:cs="Arial"/>
          <w:b/>
          <w:sz w:val="20"/>
          <w:szCs w:val="20"/>
          <w:u w:val="single"/>
        </w:rPr>
      </w:pPr>
    </w:p>
    <w:p w14:paraId="4412C10C" w14:textId="0DDC07B0" w:rsidR="00F075DA" w:rsidRDefault="00F075DA" w:rsidP="00BB1EA5">
      <w:pPr>
        <w:rPr>
          <w:rFonts w:ascii="Arial" w:hAnsi="Arial" w:cs="Arial"/>
          <w:b/>
          <w:sz w:val="20"/>
          <w:szCs w:val="20"/>
          <w:u w:val="single"/>
        </w:rPr>
      </w:pPr>
    </w:p>
    <w:p w14:paraId="1E84CEAA" w14:textId="4D1F913A" w:rsidR="00F075DA" w:rsidRDefault="00F075DA" w:rsidP="00BB1EA5">
      <w:pPr>
        <w:rPr>
          <w:rFonts w:ascii="Arial" w:hAnsi="Arial" w:cs="Arial"/>
          <w:b/>
          <w:sz w:val="20"/>
          <w:szCs w:val="20"/>
          <w:u w:val="single"/>
        </w:rPr>
      </w:pPr>
      <w:r>
        <w:rPr>
          <w:noProof/>
          <w:lang w:val="es-CO" w:eastAsia="es-CO"/>
        </w:rPr>
        <w:drawing>
          <wp:anchor distT="0" distB="0" distL="114300" distR="114300" simplePos="0" relativeHeight="251678720" behindDoc="0" locked="0" layoutInCell="1" allowOverlap="1" wp14:anchorId="5769C5BD" wp14:editId="5074FFFC">
            <wp:simplePos x="0" y="0"/>
            <wp:positionH relativeFrom="margin">
              <wp:align>center</wp:align>
            </wp:positionH>
            <wp:positionV relativeFrom="paragraph">
              <wp:posOffset>5715</wp:posOffset>
            </wp:positionV>
            <wp:extent cx="4572000" cy="249999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8513" t="28677" r="28038" b="29060"/>
                    <a:stretch/>
                  </pic:blipFill>
                  <pic:spPr bwMode="auto">
                    <a:xfrm>
                      <a:off x="0" y="0"/>
                      <a:ext cx="4572000" cy="2499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F91969" w14:textId="77777777" w:rsidR="00F075DA" w:rsidRDefault="00F075DA" w:rsidP="00BB1EA5">
      <w:pPr>
        <w:rPr>
          <w:rFonts w:ascii="Arial" w:hAnsi="Arial" w:cs="Arial"/>
          <w:b/>
          <w:sz w:val="20"/>
          <w:szCs w:val="20"/>
          <w:u w:val="single"/>
        </w:rPr>
      </w:pPr>
    </w:p>
    <w:p w14:paraId="5A50C030" w14:textId="77777777" w:rsidR="00F075DA" w:rsidRDefault="00F075DA" w:rsidP="00BB1EA5">
      <w:pPr>
        <w:rPr>
          <w:rFonts w:ascii="Arial" w:hAnsi="Arial" w:cs="Arial"/>
          <w:b/>
          <w:sz w:val="20"/>
          <w:szCs w:val="20"/>
          <w:u w:val="single"/>
        </w:rPr>
      </w:pPr>
    </w:p>
    <w:p w14:paraId="3053D70C" w14:textId="637B0ADF" w:rsidR="00BA094A" w:rsidRDefault="00BA094A" w:rsidP="00B732CB"/>
    <w:p w14:paraId="7D4899E3" w14:textId="77777777" w:rsidR="00F76B16" w:rsidRDefault="00F76B16" w:rsidP="00C6711A">
      <w:pPr>
        <w:pStyle w:val="Ttulo1"/>
        <w:jc w:val="center"/>
      </w:pPr>
    </w:p>
    <w:p w14:paraId="3B6F4FE6" w14:textId="77777777" w:rsidR="00F76B16" w:rsidRDefault="00F76B16" w:rsidP="00F76B16">
      <w:pPr>
        <w:rPr>
          <w:lang w:val="es-ES_tradnl" w:eastAsia="es-ES"/>
        </w:rPr>
      </w:pPr>
    </w:p>
    <w:p w14:paraId="385906DE" w14:textId="77777777" w:rsidR="00F76B16" w:rsidRPr="00F76B16" w:rsidRDefault="00F76B16" w:rsidP="00F76B16">
      <w:pPr>
        <w:rPr>
          <w:lang w:val="es-ES_tradnl" w:eastAsia="es-ES"/>
        </w:rPr>
      </w:pPr>
    </w:p>
    <w:p w14:paraId="654492C6" w14:textId="77777777" w:rsidR="00F76B16" w:rsidRDefault="00F76B16" w:rsidP="00C6711A">
      <w:pPr>
        <w:pStyle w:val="Ttulo1"/>
        <w:jc w:val="center"/>
      </w:pPr>
    </w:p>
    <w:p w14:paraId="05838093" w14:textId="5DD3D26B" w:rsidR="00BB1EA5" w:rsidRDefault="00BB1EA5" w:rsidP="00F76B16">
      <w:pPr>
        <w:pStyle w:val="Ttulo1"/>
        <w:numPr>
          <w:ilvl w:val="0"/>
          <w:numId w:val="7"/>
        </w:numPr>
        <w:jc w:val="center"/>
      </w:pPr>
      <w:bookmarkStart w:id="9" w:name="_Toc41378119"/>
      <w:r w:rsidRPr="000C1EC5">
        <w:t>Evaluación de cumplimiento</w:t>
      </w:r>
      <w:bookmarkEnd w:id="9"/>
    </w:p>
    <w:p w14:paraId="20E83064" w14:textId="5AD22B70" w:rsidR="00C6711A" w:rsidRPr="00C6711A" w:rsidRDefault="00C6711A" w:rsidP="00C6711A">
      <w:pPr>
        <w:rPr>
          <w:lang w:val="es-ES_tradnl" w:eastAsia="es-ES"/>
        </w:rPr>
      </w:pPr>
    </w:p>
    <w:p w14:paraId="06952D85" w14:textId="54E87077" w:rsidR="00BB1EA5" w:rsidRDefault="00BB1EA5" w:rsidP="00F76B16">
      <w:pPr>
        <w:pStyle w:val="Ttulo2"/>
        <w:numPr>
          <w:ilvl w:val="1"/>
          <w:numId w:val="7"/>
        </w:numPr>
        <w:jc w:val="center"/>
      </w:pPr>
      <w:bookmarkStart w:id="10" w:name="_Toc41378120"/>
      <w:r w:rsidRPr="000C1EC5">
        <w:t>Evaluación por proceso</w:t>
      </w:r>
      <w:bookmarkEnd w:id="10"/>
    </w:p>
    <w:p w14:paraId="054AEB50" w14:textId="3B65CF8A" w:rsidR="00F8148B" w:rsidRPr="00F8148B" w:rsidRDefault="00F8148B" w:rsidP="00F8148B">
      <w:pPr>
        <w:spacing w:after="0" w:line="240" w:lineRule="auto"/>
      </w:pPr>
    </w:p>
    <w:p w14:paraId="2E6D4D9C" w14:textId="03A3FFA4" w:rsidR="00BB1EA5" w:rsidRDefault="00BB1EA5" w:rsidP="00F8148B">
      <w:pPr>
        <w:jc w:val="both"/>
        <w:rPr>
          <w:rFonts w:ascii="Arial" w:hAnsi="Arial" w:cs="Arial"/>
          <w:sz w:val="20"/>
          <w:szCs w:val="20"/>
        </w:rPr>
      </w:pPr>
      <w:r w:rsidRPr="000C1EC5">
        <w:rPr>
          <w:rFonts w:ascii="Arial" w:hAnsi="Arial" w:cs="Arial"/>
          <w:sz w:val="20"/>
          <w:szCs w:val="20"/>
        </w:rPr>
        <w:t xml:space="preserve">Como se mencionó con anterioridad, el plan estratégico de la entidad enmarca las acciones adelantadas en los procesos </w:t>
      </w:r>
      <w:r w:rsidR="00F075DA" w:rsidRPr="000C1EC5">
        <w:rPr>
          <w:rFonts w:ascii="Arial" w:hAnsi="Arial" w:cs="Arial"/>
          <w:sz w:val="20"/>
          <w:szCs w:val="20"/>
        </w:rPr>
        <w:t xml:space="preserve">estratégicos, misionales, de apoyo y de evaluación y control, en </w:t>
      </w:r>
      <w:r w:rsidRPr="000C1EC5">
        <w:rPr>
          <w:rFonts w:ascii="Arial" w:hAnsi="Arial" w:cs="Arial"/>
          <w:sz w:val="20"/>
          <w:szCs w:val="20"/>
        </w:rPr>
        <w:t>los</w:t>
      </w:r>
      <w:r w:rsidR="00A51728">
        <w:rPr>
          <w:rFonts w:ascii="Arial" w:hAnsi="Arial" w:cs="Arial"/>
          <w:sz w:val="20"/>
          <w:szCs w:val="20"/>
        </w:rPr>
        <w:t xml:space="preserve"> </w:t>
      </w:r>
      <w:r w:rsidRPr="000C1EC5">
        <w:rPr>
          <w:rFonts w:ascii="Arial" w:hAnsi="Arial" w:cs="Arial"/>
          <w:sz w:val="20"/>
          <w:szCs w:val="20"/>
        </w:rPr>
        <w:t xml:space="preserve">que cada uno de los 135 indicadores contemplados para la vigencia 2020 aporta a cada uno de estos, según el peso porcentual otorgado.  A continuación, se presenta unificada la evaluación de la gestión por procesos adelantada en el mes de </w:t>
      </w:r>
      <w:r w:rsidR="00891F9A">
        <w:rPr>
          <w:rFonts w:ascii="Arial" w:hAnsi="Arial" w:cs="Arial"/>
          <w:sz w:val="20"/>
          <w:szCs w:val="20"/>
        </w:rPr>
        <w:t>abril</w:t>
      </w:r>
      <w:r w:rsidRPr="000C1EC5">
        <w:rPr>
          <w:rFonts w:ascii="Arial" w:hAnsi="Arial" w:cs="Arial"/>
          <w:sz w:val="20"/>
          <w:szCs w:val="20"/>
        </w:rPr>
        <w:t>:</w:t>
      </w:r>
    </w:p>
    <w:p w14:paraId="4592D8AC" w14:textId="21998623" w:rsidR="00F075DA" w:rsidRDefault="00F075DA" w:rsidP="00F8148B">
      <w:pPr>
        <w:jc w:val="both"/>
        <w:rPr>
          <w:rFonts w:ascii="Arial" w:hAnsi="Arial" w:cs="Arial"/>
          <w:sz w:val="20"/>
          <w:szCs w:val="20"/>
        </w:rPr>
      </w:pPr>
      <w:r w:rsidRPr="00697647">
        <w:rPr>
          <w:noProof/>
          <w:lang w:val="es-CO" w:eastAsia="es-CO"/>
        </w:rPr>
        <w:drawing>
          <wp:anchor distT="0" distB="0" distL="114300" distR="114300" simplePos="0" relativeHeight="251679744" behindDoc="0" locked="0" layoutInCell="1" allowOverlap="1" wp14:anchorId="2E1FCC8A" wp14:editId="5029D96B">
            <wp:simplePos x="0" y="0"/>
            <wp:positionH relativeFrom="margin">
              <wp:posOffset>-749984</wp:posOffset>
            </wp:positionH>
            <wp:positionV relativeFrom="paragraph">
              <wp:posOffset>33655</wp:posOffset>
            </wp:positionV>
            <wp:extent cx="7113694" cy="436688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3694" cy="436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8ACD9" w14:textId="2402FC65" w:rsidR="00CB2230" w:rsidRDefault="00CB2230" w:rsidP="00F8148B">
      <w:pPr>
        <w:jc w:val="both"/>
        <w:rPr>
          <w:rFonts w:ascii="Arial" w:hAnsi="Arial" w:cs="Arial"/>
          <w:sz w:val="20"/>
          <w:szCs w:val="20"/>
        </w:rPr>
      </w:pPr>
    </w:p>
    <w:p w14:paraId="425800EF" w14:textId="77777777" w:rsidR="00CB2230" w:rsidRDefault="00CB2230" w:rsidP="00F8148B">
      <w:pPr>
        <w:jc w:val="both"/>
        <w:rPr>
          <w:rFonts w:ascii="Arial" w:hAnsi="Arial" w:cs="Arial"/>
          <w:sz w:val="20"/>
          <w:szCs w:val="20"/>
        </w:rPr>
      </w:pPr>
    </w:p>
    <w:p w14:paraId="4528AD49" w14:textId="5CB24227" w:rsidR="00CB2230" w:rsidRDefault="00CB2230" w:rsidP="00F8148B">
      <w:pPr>
        <w:jc w:val="both"/>
        <w:rPr>
          <w:rFonts w:ascii="Arial" w:hAnsi="Arial" w:cs="Arial"/>
          <w:sz w:val="20"/>
          <w:szCs w:val="20"/>
        </w:rPr>
      </w:pPr>
    </w:p>
    <w:p w14:paraId="448CA8E7" w14:textId="2490C043" w:rsidR="00CB2230" w:rsidRDefault="00CB2230" w:rsidP="00F8148B">
      <w:pPr>
        <w:jc w:val="both"/>
        <w:rPr>
          <w:rFonts w:ascii="Arial" w:hAnsi="Arial" w:cs="Arial"/>
          <w:sz w:val="20"/>
          <w:szCs w:val="20"/>
        </w:rPr>
      </w:pPr>
    </w:p>
    <w:p w14:paraId="63388886" w14:textId="3BAB138B" w:rsidR="00CB2230" w:rsidRDefault="00CB2230" w:rsidP="00F8148B">
      <w:pPr>
        <w:jc w:val="both"/>
        <w:rPr>
          <w:rFonts w:ascii="Arial" w:hAnsi="Arial" w:cs="Arial"/>
          <w:sz w:val="20"/>
          <w:szCs w:val="20"/>
        </w:rPr>
      </w:pPr>
    </w:p>
    <w:p w14:paraId="32471FBB" w14:textId="11E6AB26" w:rsidR="00C6711A" w:rsidRDefault="00C6711A" w:rsidP="00BB1EA5">
      <w:pPr>
        <w:rPr>
          <w:noProof/>
          <w:lang w:val="es-CO" w:eastAsia="es-CO"/>
        </w:rPr>
      </w:pPr>
    </w:p>
    <w:p w14:paraId="75F5EC1A" w14:textId="359C2598" w:rsidR="002A0532" w:rsidRDefault="002A0532" w:rsidP="00BB1EA5">
      <w:pPr>
        <w:rPr>
          <w:rFonts w:ascii="Arial" w:hAnsi="Arial" w:cs="Arial"/>
          <w:sz w:val="20"/>
          <w:szCs w:val="20"/>
        </w:rPr>
      </w:pPr>
    </w:p>
    <w:p w14:paraId="6E149726" w14:textId="7C3E6837" w:rsidR="00A51728" w:rsidRDefault="00A51728" w:rsidP="00BB1EA5">
      <w:pPr>
        <w:rPr>
          <w:rFonts w:ascii="Arial" w:hAnsi="Arial" w:cs="Arial"/>
          <w:sz w:val="20"/>
          <w:szCs w:val="20"/>
        </w:rPr>
      </w:pPr>
    </w:p>
    <w:p w14:paraId="26F7801F" w14:textId="68C4200D" w:rsidR="00A51728" w:rsidRDefault="00A51728" w:rsidP="00BB1EA5">
      <w:pPr>
        <w:rPr>
          <w:rFonts w:ascii="Arial" w:hAnsi="Arial" w:cs="Arial"/>
          <w:sz w:val="20"/>
          <w:szCs w:val="20"/>
        </w:rPr>
      </w:pPr>
    </w:p>
    <w:p w14:paraId="7FFAEDB7" w14:textId="69E17AF1" w:rsidR="00A51728" w:rsidRDefault="00A51728" w:rsidP="00BB1EA5">
      <w:pPr>
        <w:rPr>
          <w:rFonts w:ascii="Arial" w:hAnsi="Arial" w:cs="Arial"/>
          <w:sz w:val="20"/>
          <w:szCs w:val="20"/>
        </w:rPr>
      </w:pPr>
    </w:p>
    <w:p w14:paraId="587E781F" w14:textId="43D7068C" w:rsidR="00A51728" w:rsidRDefault="00A51728" w:rsidP="00BB1EA5">
      <w:pPr>
        <w:rPr>
          <w:rFonts w:ascii="Arial" w:hAnsi="Arial" w:cs="Arial"/>
          <w:sz w:val="20"/>
          <w:szCs w:val="20"/>
        </w:rPr>
      </w:pPr>
    </w:p>
    <w:p w14:paraId="06D313CF" w14:textId="70B1B65C" w:rsidR="00A51728" w:rsidRDefault="00A51728" w:rsidP="00BB1EA5">
      <w:pPr>
        <w:rPr>
          <w:rFonts w:ascii="Arial" w:hAnsi="Arial" w:cs="Arial"/>
          <w:sz w:val="20"/>
          <w:szCs w:val="20"/>
        </w:rPr>
      </w:pPr>
    </w:p>
    <w:p w14:paraId="6AAB97CE" w14:textId="4E9FE543" w:rsidR="00A51728" w:rsidRDefault="00A51728" w:rsidP="00BB1EA5">
      <w:pPr>
        <w:rPr>
          <w:rFonts w:ascii="Arial" w:hAnsi="Arial" w:cs="Arial"/>
          <w:sz w:val="20"/>
          <w:szCs w:val="20"/>
        </w:rPr>
      </w:pPr>
    </w:p>
    <w:p w14:paraId="53EBAF19" w14:textId="464DA0D8" w:rsidR="00A51728" w:rsidRDefault="00A51728" w:rsidP="00BB1EA5">
      <w:pPr>
        <w:rPr>
          <w:rFonts w:ascii="Arial" w:hAnsi="Arial" w:cs="Arial"/>
          <w:sz w:val="20"/>
          <w:szCs w:val="20"/>
        </w:rPr>
      </w:pPr>
    </w:p>
    <w:p w14:paraId="13A93630" w14:textId="3C64C977" w:rsidR="00A51728" w:rsidRDefault="00A51728" w:rsidP="00BB1EA5">
      <w:pPr>
        <w:rPr>
          <w:rFonts w:ascii="Arial" w:hAnsi="Arial" w:cs="Arial"/>
          <w:sz w:val="20"/>
          <w:szCs w:val="20"/>
        </w:rPr>
      </w:pPr>
    </w:p>
    <w:p w14:paraId="5D909CB0" w14:textId="43C74AA9" w:rsidR="00A51728" w:rsidRDefault="00A51728" w:rsidP="00BB1EA5">
      <w:pPr>
        <w:rPr>
          <w:rFonts w:ascii="Arial" w:hAnsi="Arial" w:cs="Arial"/>
          <w:sz w:val="20"/>
          <w:szCs w:val="20"/>
        </w:rPr>
      </w:pPr>
    </w:p>
    <w:p w14:paraId="0FD7F032" w14:textId="399176FB" w:rsidR="00A51728" w:rsidRDefault="00A51728" w:rsidP="00BB1EA5">
      <w:pPr>
        <w:rPr>
          <w:rFonts w:ascii="Arial" w:hAnsi="Arial" w:cs="Arial"/>
          <w:sz w:val="20"/>
          <w:szCs w:val="20"/>
        </w:rPr>
      </w:pPr>
    </w:p>
    <w:p w14:paraId="2415DFB5" w14:textId="5892C4E2" w:rsidR="00BB1EA5" w:rsidRDefault="00BB1EA5" w:rsidP="00F76B16">
      <w:pPr>
        <w:pStyle w:val="Ttulo2"/>
        <w:numPr>
          <w:ilvl w:val="2"/>
          <w:numId w:val="7"/>
        </w:numPr>
        <w:jc w:val="center"/>
      </w:pPr>
      <w:bookmarkStart w:id="11" w:name="_Toc41378121"/>
      <w:r w:rsidRPr="000C1EC5">
        <w:t>Proceso Estratégico</w:t>
      </w:r>
      <w:bookmarkEnd w:id="11"/>
    </w:p>
    <w:p w14:paraId="7633D81A" w14:textId="77777777" w:rsidR="00C6711A" w:rsidRPr="00C6711A" w:rsidRDefault="00C6711A" w:rsidP="00F8148B">
      <w:pPr>
        <w:spacing w:after="0" w:line="240" w:lineRule="auto"/>
      </w:pPr>
    </w:p>
    <w:p w14:paraId="3DF643DF" w14:textId="62FE95D7" w:rsidR="007612CC" w:rsidRDefault="00BB1EA5" w:rsidP="00BB1EA5">
      <w:pPr>
        <w:pStyle w:val="Prrafodelista"/>
        <w:spacing w:before="120"/>
        <w:ind w:left="-142" w:right="-101"/>
        <w:jc w:val="both"/>
        <w:rPr>
          <w:rFonts w:ascii="Arial" w:eastAsiaTheme="minorHAnsi" w:hAnsi="Arial" w:cs="Arial"/>
          <w:sz w:val="20"/>
          <w:szCs w:val="20"/>
          <w:lang w:val="es-US" w:eastAsia="en-US"/>
        </w:rPr>
      </w:pPr>
      <w:r w:rsidRPr="000C1EC5">
        <w:rPr>
          <w:rFonts w:ascii="Arial" w:eastAsiaTheme="minorHAnsi" w:hAnsi="Arial" w:cs="Arial"/>
          <w:sz w:val="20"/>
          <w:szCs w:val="20"/>
          <w:lang w:val="es-US" w:eastAsia="en-US"/>
        </w:rPr>
        <w:t xml:space="preserve">Este proceso para la vigencia 2020 integra siete (7) indicadores con un peso ponderado del 20%. </w:t>
      </w:r>
      <w:r w:rsidR="00527A3D">
        <w:rPr>
          <w:rFonts w:ascii="Arial" w:eastAsiaTheme="minorHAnsi" w:hAnsi="Arial" w:cs="Arial"/>
          <w:sz w:val="20"/>
          <w:szCs w:val="20"/>
          <w:lang w:val="es-US" w:eastAsia="en-US"/>
        </w:rPr>
        <w:t xml:space="preserve">Para el periodo reportado se evaluaron </w:t>
      </w:r>
      <w:r w:rsidR="001370A1">
        <w:rPr>
          <w:rFonts w:ascii="Arial" w:eastAsiaTheme="minorHAnsi" w:hAnsi="Arial" w:cs="Arial"/>
          <w:sz w:val="20"/>
          <w:szCs w:val="20"/>
          <w:lang w:val="es-US" w:eastAsia="en-US"/>
        </w:rPr>
        <w:t>dos (2</w:t>
      </w:r>
      <w:r w:rsidR="00527A3D">
        <w:rPr>
          <w:rFonts w:ascii="Arial" w:eastAsiaTheme="minorHAnsi" w:hAnsi="Arial" w:cs="Arial"/>
          <w:sz w:val="20"/>
          <w:szCs w:val="20"/>
          <w:lang w:val="es-US" w:eastAsia="en-US"/>
        </w:rPr>
        <w:t>) indicadores, los  cuales se encuentran distribuidos de la siguiente manera dos (2) de la Oficina Asesora de Comunicaciones con un prom</w:t>
      </w:r>
      <w:r w:rsidR="007612CC">
        <w:rPr>
          <w:rFonts w:ascii="Arial" w:eastAsiaTheme="minorHAnsi" w:hAnsi="Arial" w:cs="Arial"/>
          <w:sz w:val="20"/>
          <w:szCs w:val="20"/>
          <w:lang w:val="es-US" w:eastAsia="en-US"/>
        </w:rPr>
        <w:t>edio de cumplimiento del 100%</w:t>
      </w:r>
      <w:r w:rsidR="000B1707">
        <w:rPr>
          <w:rFonts w:ascii="Arial" w:eastAsiaTheme="minorHAnsi" w:hAnsi="Arial" w:cs="Arial"/>
          <w:sz w:val="20"/>
          <w:szCs w:val="20"/>
          <w:lang w:val="es-US" w:eastAsia="en-US"/>
        </w:rPr>
        <w:t xml:space="preserve">, lo que conlleva al </w:t>
      </w:r>
      <w:r w:rsidR="001370A1">
        <w:rPr>
          <w:rFonts w:ascii="Arial" w:eastAsiaTheme="minorHAnsi" w:hAnsi="Arial" w:cs="Arial"/>
          <w:sz w:val="20"/>
          <w:szCs w:val="20"/>
          <w:lang w:val="es-US" w:eastAsia="en-US"/>
        </w:rPr>
        <w:t>100</w:t>
      </w:r>
      <w:r w:rsidR="000B1707">
        <w:rPr>
          <w:rFonts w:ascii="Arial" w:eastAsiaTheme="minorHAnsi" w:hAnsi="Arial" w:cs="Arial"/>
          <w:sz w:val="20"/>
          <w:szCs w:val="20"/>
          <w:lang w:val="es-US" w:eastAsia="en-US"/>
        </w:rPr>
        <w:t>% del avance por p</w:t>
      </w:r>
      <w:r w:rsidR="001370A1">
        <w:rPr>
          <w:rFonts w:ascii="Arial" w:eastAsiaTheme="minorHAnsi" w:hAnsi="Arial" w:cs="Arial"/>
          <w:sz w:val="20"/>
          <w:szCs w:val="20"/>
          <w:lang w:val="es-US" w:eastAsia="en-US"/>
        </w:rPr>
        <w:t>roceso y 20</w:t>
      </w:r>
      <w:r w:rsidR="000B1707">
        <w:rPr>
          <w:rFonts w:ascii="Arial" w:eastAsiaTheme="minorHAnsi" w:hAnsi="Arial" w:cs="Arial"/>
          <w:sz w:val="20"/>
          <w:szCs w:val="20"/>
          <w:lang w:val="es-US" w:eastAsia="en-US"/>
        </w:rPr>
        <w:t>% de avance versus al peso porcentual.</w:t>
      </w:r>
    </w:p>
    <w:p w14:paraId="7CB363FA" w14:textId="3E107217" w:rsidR="00BB1EA5" w:rsidRDefault="007612CC" w:rsidP="00BB1EA5">
      <w:pPr>
        <w:pStyle w:val="Prrafodelista"/>
        <w:spacing w:before="120"/>
        <w:ind w:left="-142"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 xml:space="preserve"> </w:t>
      </w:r>
      <w:r w:rsidR="00527A3D">
        <w:rPr>
          <w:rFonts w:ascii="Arial" w:eastAsiaTheme="minorHAnsi" w:hAnsi="Arial" w:cs="Arial"/>
          <w:sz w:val="20"/>
          <w:szCs w:val="20"/>
          <w:lang w:val="es-US" w:eastAsia="en-US"/>
        </w:rPr>
        <w:t xml:space="preserve"> </w:t>
      </w:r>
    </w:p>
    <w:p w14:paraId="090F767E" w14:textId="77777777" w:rsidR="00BB1EA5" w:rsidRPr="000C1EC5" w:rsidRDefault="00BB1EA5" w:rsidP="00BB1EA5">
      <w:pPr>
        <w:pStyle w:val="Prrafodelista"/>
        <w:spacing w:before="120"/>
        <w:ind w:left="-142" w:right="-101"/>
        <w:jc w:val="both"/>
        <w:rPr>
          <w:rFonts w:ascii="Arial" w:eastAsiaTheme="minorHAnsi" w:hAnsi="Arial" w:cs="Arial"/>
          <w:sz w:val="20"/>
          <w:szCs w:val="20"/>
          <w:lang w:val="es-US" w:eastAsia="en-US"/>
        </w:rPr>
      </w:pPr>
    </w:p>
    <w:p w14:paraId="31417F3D" w14:textId="0C93CA9B" w:rsidR="00BB1EA5" w:rsidRPr="000C1EC5" w:rsidRDefault="00BB1EA5" w:rsidP="00F76B16">
      <w:pPr>
        <w:pStyle w:val="Ttulo2"/>
        <w:numPr>
          <w:ilvl w:val="2"/>
          <w:numId w:val="7"/>
        </w:numPr>
        <w:jc w:val="center"/>
        <w:rPr>
          <w:rFonts w:eastAsiaTheme="minorHAnsi"/>
        </w:rPr>
      </w:pPr>
      <w:bookmarkStart w:id="12" w:name="_Toc41378122"/>
      <w:r w:rsidRPr="000C1EC5">
        <w:rPr>
          <w:rFonts w:eastAsiaTheme="minorHAnsi"/>
        </w:rPr>
        <w:lastRenderedPageBreak/>
        <w:t>Proceso Misional</w:t>
      </w:r>
      <w:bookmarkEnd w:id="12"/>
    </w:p>
    <w:p w14:paraId="38BB1B3B" w14:textId="77777777" w:rsidR="00BB1EA5" w:rsidRPr="000C1EC5" w:rsidRDefault="00BB1EA5" w:rsidP="00BB1EA5">
      <w:pPr>
        <w:pStyle w:val="Prrafodelista"/>
        <w:spacing w:before="120"/>
        <w:ind w:left="0" w:right="171"/>
        <w:jc w:val="both"/>
        <w:rPr>
          <w:rFonts w:ascii="Arial" w:eastAsiaTheme="minorHAnsi" w:hAnsi="Arial" w:cs="Arial"/>
          <w:sz w:val="20"/>
          <w:szCs w:val="20"/>
          <w:lang w:val="es-US" w:eastAsia="en-US"/>
        </w:rPr>
      </w:pPr>
    </w:p>
    <w:p w14:paraId="7D1078A0" w14:textId="326C3B03" w:rsidR="00BB1EA5" w:rsidRDefault="00BB1EA5" w:rsidP="00BB1EA5">
      <w:pPr>
        <w:pStyle w:val="Prrafodelista"/>
        <w:spacing w:before="120"/>
        <w:ind w:left="-142" w:right="-101"/>
        <w:jc w:val="both"/>
        <w:rPr>
          <w:rFonts w:ascii="Arial" w:eastAsiaTheme="minorHAnsi" w:hAnsi="Arial" w:cs="Arial"/>
          <w:sz w:val="20"/>
          <w:szCs w:val="20"/>
          <w:lang w:val="es-US" w:eastAsia="en-US"/>
        </w:rPr>
      </w:pPr>
      <w:r w:rsidRPr="000C1EC5">
        <w:rPr>
          <w:rFonts w:ascii="Arial" w:eastAsiaTheme="minorHAnsi" w:hAnsi="Arial" w:cs="Arial"/>
          <w:sz w:val="20"/>
          <w:szCs w:val="20"/>
          <w:lang w:val="es-US" w:eastAsia="en-US"/>
        </w:rPr>
        <w:t>En cuanto al proceso misional, lo integran setenta y seis (76) indicadores con un peso ponderado del 50%. Para</w:t>
      </w:r>
      <w:r w:rsidR="007612CC">
        <w:rPr>
          <w:rFonts w:ascii="Arial" w:eastAsiaTheme="minorHAnsi" w:hAnsi="Arial" w:cs="Arial"/>
          <w:sz w:val="20"/>
          <w:szCs w:val="20"/>
          <w:lang w:val="es-US" w:eastAsia="en-US"/>
        </w:rPr>
        <w:t xml:space="preserve"> este periodo se evaluaron </w:t>
      </w:r>
      <w:r w:rsidR="001370A1">
        <w:rPr>
          <w:rFonts w:ascii="Arial" w:eastAsiaTheme="minorHAnsi" w:hAnsi="Arial" w:cs="Arial"/>
          <w:sz w:val="20"/>
          <w:szCs w:val="20"/>
          <w:lang w:val="es-US" w:eastAsia="en-US"/>
        </w:rPr>
        <w:t>catorce (14</w:t>
      </w:r>
      <w:r w:rsidR="007612CC">
        <w:rPr>
          <w:rFonts w:ascii="Arial" w:eastAsiaTheme="minorHAnsi" w:hAnsi="Arial" w:cs="Arial"/>
          <w:sz w:val="20"/>
          <w:szCs w:val="20"/>
          <w:lang w:val="es-US" w:eastAsia="en-US"/>
        </w:rPr>
        <w:t>) indicadores los cuales están distribuidos de la siguiente manera:</w:t>
      </w:r>
    </w:p>
    <w:p w14:paraId="7BF09C4A" w14:textId="77777777" w:rsidR="007612CC" w:rsidRDefault="007612CC" w:rsidP="00BB1EA5">
      <w:pPr>
        <w:pStyle w:val="Prrafodelista"/>
        <w:spacing w:before="120"/>
        <w:ind w:left="-142" w:right="-101"/>
        <w:jc w:val="both"/>
        <w:rPr>
          <w:rFonts w:ascii="Arial" w:eastAsiaTheme="minorHAnsi" w:hAnsi="Arial" w:cs="Arial"/>
          <w:sz w:val="20"/>
          <w:szCs w:val="20"/>
          <w:lang w:val="es-US" w:eastAsia="en-US"/>
        </w:rPr>
      </w:pPr>
    </w:p>
    <w:p w14:paraId="58A8C0FC" w14:textId="71A05D71" w:rsidR="00C92034" w:rsidRDefault="001370A1" w:rsidP="007612CC">
      <w:pPr>
        <w:pStyle w:val="Prrafodelista"/>
        <w:numPr>
          <w:ilvl w:val="0"/>
          <w:numId w:val="3"/>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Dos (2</w:t>
      </w:r>
      <w:r w:rsidR="007612CC">
        <w:rPr>
          <w:rFonts w:ascii="Arial" w:eastAsiaTheme="minorHAnsi" w:hAnsi="Arial" w:cs="Arial"/>
          <w:sz w:val="20"/>
          <w:szCs w:val="20"/>
          <w:lang w:val="es-US" w:eastAsia="en-US"/>
        </w:rPr>
        <w:t>) Indicadores asociados a la Dirección de Control Ambiental con un promedio de cumplimiento en el perio</w:t>
      </w:r>
      <w:r>
        <w:rPr>
          <w:rFonts w:ascii="Arial" w:eastAsiaTheme="minorHAnsi" w:hAnsi="Arial" w:cs="Arial"/>
          <w:sz w:val="20"/>
          <w:szCs w:val="20"/>
          <w:lang w:val="es-US" w:eastAsia="en-US"/>
        </w:rPr>
        <w:t>do evaluado del 11</w:t>
      </w:r>
      <w:r w:rsidR="007612CC">
        <w:rPr>
          <w:rFonts w:ascii="Arial" w:eastAsiaTheme="minorHAnsi" w:hAnsi="Arial" w:cs="Arial"/>
          <w:sz w:val="20"/>
          <w:szCs w:val="20"/>
          <w:lang w:val="es-US" w:eastAsia="en-US"/>
        </w:rPr>
        <w:t>%</w:t>
      </w:r>
      <w:r w:rsidR="00C92034">
        <w:rPr>
          <w:rFonts w:ascii="Arial" w:eastAsiaTheme="minorHAnsi" w:hAnsi="Arial" w:cs="Arial"/>
          <w:sz w:val="20"/>
          <w:szCs w:val="20"/>
          <w:lang w:val="es-US" w:eastAsia="en-US"/>
        </w:rPr>
        <w:t>.</w:t>
      </w:r>
    </w:p>
    <w:p w14:paraId="5D00785C" w14:textId="77777777" w:rsidR="00C92034" w:rsidRDefault="00C92034" w:rsidP="00C92034">
      <w:pPr>
        <w:pStyle w:val="Prrafodelista"/>
        <w:spacing w:before="120"/>
        <w:ind w:left="578" w:right="-101"/>
        <w:jc w:val="both"/>
        <w:rPr>
          <w:rFonts w:ascii="Arial" w:eastAsiaTheme="minorHAnsi" w:hAnsi="Arial" w:cs="Arial"/>
          <w:sz w:val="20"/>
          <w:szCs w:val="20"/>
          <w:lang w:val="es-US" w:eastAsia="en-US"/>
        </w:rPr>
      </w:pPr>
    </w:p>
    <w:p w14:paraId="462FFE6A" w14:textId="42C2AE25" w:rsidR="002D2168" w:rsidRDefault="001370A1" w:rsidP="002D2168">
      <w:pPr>
        <w:pStyle w:val="Prrafodelista"/>
        <w:numPr>
          <w:ilvl w:val="0"/>
          <w:numId w:val="3"/>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Un</w:t>
      </w:r>
      <w:r w:rsidR="00EA64BD">
        <w:rPr>
          <w:rFonts w:ascii="Arial" w:eastAsiaTheme="minorHAnsi" w:hAnsi="Arial" w:cs="Arial"/>
          <w:sz w:val="20"/>
          <w:szCs w:val="20"/>
          <w:lang w:val="es-US" w:eastAsia="en-US"/>
        </w:rPr>
        <w:t xml:space="preserve"> (1) indicador</w:t>
      </w:r>
      <w:r w:rsidR="00C92034">
        <w:rPr>
          <w:rFonts w:ascii="Arial" w:eastAsiaTheme="minorHAnsi" w:hAnsi="Arial" w:cs="Arial"/>
          <w:sz w:val="20"/>
          <w:szCs w:val="20"/>
          <w:lang w:val="es-US" w:eastAsia="en-US"/>
        </w:rPr>
        <w:t xml:space="preserve"> asociados a la Dirección de Gestión Ambiental con un promedio de cumplimien</w:t>
      </w:r>
      <w:r w:rsidR="00EA64BD">
        <w:rPr>
          <w:rFonts w:ascii="Arial" w:eastAsiaTheme="minorHAnsi" w:hAnsi="Arial" w:cs="Arial"/>
          <w:sz w:val="20"/>
          <w:szCs w:val="20"/>
          <w:lang w:val="es-US" w:eastAsia="en-US"/>
        </w:rPr>
        <w:t>to en el periodo evaluado del 100</w:t>
      </w:r>
      <w:r w:rsidR="00C92034">
        <w:rPr>
          <w:rFonts w:ascii="Arial" w:eastAsiaTheme="minorHAnsi" w:hAnsi="Arial" w:cs="Arial"/>
          <w:sz w:val="20"/>
          <w:szCs w:val="20"/>
          <w:lang w:val="es-US" w:eastAsia="en-US"/>
        </w:rPr>
        <w:t>%</w:t>
      </w:r>
    </w:p>
    <w:p w14:paraId="247F1A89" w14:textId="77777777" w:rsidR="002D2168" w:rsidRPr="002D2168" w:rsidRDefault="002D2168" w:rsidP="002D2168">
      <w:pPr>
        <w:pStyle w:val="Prrafodelista"/>
        <w:rPr>
          <w:rFonts w:ascii="Arial" w:eastAsiaTheme="minorHAnsi" w:hAnsi="Arial" w:cs="Arial"/>
          <w:sz w:val="20"/>
          <w:szCs w:val="20"/>
          <w:lang w:val="es-US" w:eastAsia="en-US"/>
        </w:rPr>
      </w:pPr>
    </w:p>
    <w:p w14:paraId="38F56737" w14:textId="34E39DBD" w:rsidR="00071927" w:rsidRDefault="00071927" w:rsidP="007612CC">
      <w:pPr>
        <w:pStyle w:val="Prrafodelista"/>
        <w:numPr>
          <w:ilvl w:val="0"/>
          <w:numId w:val="3"/>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Dos (2) indicadores asociados a la oficina de Participación, Educación y Localidades con un promedio de cumplimien</w:t>
      </w:r>
      <w:r w:rsidR="00DD2D47">
        <w:rPr>
          <w:rFonts w:ascii="Arial" w:eastAsiaTheme="minorHAnsi" w:hAnsi="Arial" w:cs="Arial"/>
          <w:sz w:val="20"/>
          <w:szCs w:val="20"/>
          <w:lang w:val="es-US" w:eastAsia="en-US"/>
        </w:rPr>
        <w:t>to en el periodo evaluado del 100</w:t>
      </w:r>
      <w:r>
        <w:rPr>
          <w:rFonts w:ascii="Arial" w:eastAsiaTheme="minorHAnsi" w:hAnsi="Arial" w:cs="Arial"/>
          <w:sz w:val="20"/>
          <w:szCs w:val="20"/>
          <w:lang w:val="es-US" w:eastAsia="en-US"/>
        </w:rPr>
        <w:t>%</w:t>
      </w:r>
    </w:p>
    <w:p w14:paraId="398571D0" w14:textId="77777777" w:rsidR="00071927" w:rsidRPr="00071927" w:rsidRDefault="00071927" w:rsidP="00071927">
      <w:pPr>
        <w:pStyle w:val="Prrafodelista"/>
        <w:rPr>
          <w:rFonts w:ascii="Arial" w:eastAsiaTheme="minorHAnsi" w:hAnsi="Arial" w:cs="Arial"/>
          <w:sz w:val="20"/>
          <w:szCs w:val="20"/>
          <w:lang w:val="es-US" w:eastAsia="en-US"/>
        </w:rPr>
      </w:pPr>
    </w:p>
    <w:p w14:paraId="4F6C0151" w14:textId="5B846BE2" w:rsidR="00071927" w:rsidRDefault="00DD2D47" w:rsidP="007612CC">
      <w:pPr>
        <w:pStyle w:val="Prrafodelista"/>
        <w:numPr>
          <w:ilvl w:val="0"/>
          <w:numId w:val="3"/>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Tres (3</w:t>
      </w:r>
      <w:r w:rsidR="00071927">
        <w:rPr>
          <w:rFonts w:ascii="Arial" w:eastAsiaTheme="minorHAnsi" w:hAnsi="Arial" w:cs="Arial"/>
          <w:sz w:val="20"/>
          <w:szCs w:val="20"/>
          <w:lang w:val="es-US" w:eastAsia="en-US"/>
        </w:rPr>
        <w:t>) indicadores asociados a la Subdirección de Calidad del Aire, Auditiva y Visual con un promedio de cumplimien</w:t>
      </w:r>
      <w:r>
        <w:rPr>
          <w:rFonts w:ascii="Arial" w:eastAsiaTheme="minorHAnsi" w:hAnsi="Arial" w:cs="Arial"/>
          <w:sz w:val="20"/>
          <w:szCs w:val="20"/>
          <w:lang w:val="es-US" w:eastAsia="en-US"/>
        </w:rPr>
        <w:t>to en el periodo evaluado del 35</w:t>
      </w:r>
      <w:r w:rsidR="00071927">
        <w:rPr>
          <w:rFonts w:ascii="Arial" w:eastAsiaTheme="minorHAnsi" w:hAnsi="Arial" w:cs="Arial"/>
          <w:sz w:val="20"/>
          <w:szCs w:val="20"/>
          <w:lang w:val="es-US" w:eastAsia="en-US"/>
        </w:rPr>
        <w:t>%.</w:t>
      </w:r>
    </w:p>
    <w:p w14:paraId="7D7B6893" w14:textId="77777777" w:rsidR="00071927" w:rsidRPr="00071927" w:rsidRDefault="00071927" w:rsidP="00071927">
      <w:pPr>
        <w:pStyle w:val="Prrafodelista"/>
        <w:rPr>
          <w:rFonts w:ascii="Arial" w:eastAsiaTheme="minorHAnsi" w:hAnsi="Arial" w:cs="Arial"/>
          <w:sz w:val="20"/>
          <w:szCs w:val="20"/>
          <w:lang w:val="es-US" w:eastAsia="en-US"/>
        </w:rPr>
      </w:pPr>
    </w:p>
    <w:p w14:paraId="0267BBAE" w14:textId="6B72CDA9" w:rsidR="00071927" w:rsidRDefault="00DD2D47" w:rsidP="007612CC">
      <w:pPr>
        <w:pStyle w:val="Prrafodelista"/>
        <w:numPr>
          <w:ilvl w:val="0"/>
          <w:numId w:val="3"/>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Dos (2</w:t>
      </w:r>
      <w:r w:rsidR="00071927">
        <w:rPr>
          <w:rFonts w:ascii="Arial" w:eastAsiaTheme="minorHAnsi" w:hAnsi="Arial" w:cs="Arial"/>
          <w:sz w:val="20"/>
          <w:szCs w:val="20"/>
          <w:lang w:val="es-US" w:eastAsia="en-US"/>
        </w:rPr>
        <w:t>) indicadores asociados a la Subdirección de Control Ambiental al Sector Público con un promedio de cumplimien</w:t>
      </w:r>
      <w:r>
        <w:rPr>
          <w:rFonts w:ascii="Arial" w:eastAsiaTheme="minorHAnsi" w:hAnsi="Arial" w:cs="Arial"/>
          <w:sz w:val="20"/>
          <w:szCs w:val="20"/>
          <w:lang w:val="es-US" w:eastAsia="en-US"/>
        </w:rPr>
        <w:t>to en el periodo evaluado del 35</w:t>
      </w:r>
      <w:r w:rsidR="00071927">
        <w:rPr>
          <w:rFonts w:ascii="Arial" w:eastAsiaTheme="minorHAnsi" w:hAnsi="Arial" w:cs="Arial"/>
          <w:sz w:val="20"/>
          <w:szCs w:val="20"/>
          <w:lang w:val="es-US" w:eastAsia="en-US"/>
        </w:rPr>
        <w:t>%</w:t>
      </w:r>
    </w:p>
    <w:p w14:paraId="6097A174" w14:textId="77777777" w:rsidR="00071927" w:rsidRPr="00071927" w:rsidRDefault="00071927" w:rsidP="00071927">
      <w:pPr>
        <w:pStyle w:val="Prrafodelista"/>
        <w:rPr>
          <w:rFonts w:ascii="Arial" w:eastAsiaTheme="minorHAnsi" w:hAnsi="Arial" w:cs="Arial"/>
          <w:sz w:val="20"/>
          <w:szCs w:val="20"/>
          <w:lang w:val="es-US" w:eastAsia="en-US"/>
        </w:rPr>
      </w:pPr>
    </w:p>
    <w:p w14:paraId="478D4008" w14:textId="36D2DE4D" w:rsidR="004335AC" w:rsidRDefault="004335AC" w:rsidP="007612CC">
      <w:pPr>
        <w:pStyle w:val="Prrafodelista"/>
        <w:numPr>
          <w:ilvl w:val="0"/>
          <w:numId w:val="3"/>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 xml:space="preserve">Cuatro (4) indicadores asociados a la Subdirección de Silvicultura, Flora y fauna Silvestre  con un promedio de cumplimiento en el periodo evaluado del </w:t>
      </w:r>
      <w:r w:rsidR="00DD2D47">
        <w:rPr>
          <w:rFonts w:ascii="Arial" w:eastAsiaTheme="minorHAnsi" w:hAnsi="Arial" w:cs="Arial"/>
          <w:sz w:val="20"/>
          <w:szCs w:val="20"/>
          <w:lang w:val="es-US" w:eastAsia="en-US"/>
        </w:rPr>
        <w:t>76</w:t>
      </w:r>
      <w:r>
        <w:rPr>
          <w:rFonts w:ascii="Arial" w:eastAsiaTheme="minorHAnsi" w:hAnsi="Arial" w:cs="Arial"/>
          <w:sz w:val="20"/>
          <w:szCs w:val="20"/>
          <w:lang w:val="es-US" w:eastAsia="en-US"/>
        </w:rPr>
        <w:t>%</w:t>
      </w:r>
    </w:p>
    <w:p w14:paraId="12AB34B5" w14:textId="77777777" w:rsidR="004335AC" w:rsidRDefault="004335AC" w:rsidP="00BB1EA5">
      <w:pPr>
        <w:pStyle w:val="Prrafodelista"/>
        <w:spacing w:before="120"/>
        <w:ind w:left="0" w:right="171"/>
        <w:jc w:val="both"/>
        <w:rPr>
          <w:rFonts w:ascii="Arial" w:eastAsiaTheme="minorHAnsi" w:hAnsi="Arial" w:cs="Arial"/>
          <w:b/>
          <w:sz w:val="20"/>
          <w:szCs w:val="20"/>
          <w:u w:val="single"/>
          <w:lang w:val="es-US" w:eastAsia="en-US"/>
        </w:rPr>
      </w:pPr>
    </w:p>
    <w:p w14:paraId="3E050935" w14:textId="7E74E4FB" w:rsidR="00BB1EA5" w:rsidRPr="000C1EC5" w:rsidRDefault="00BB1EA5" w:rsidP="00F76B16">
      <w:pPr>
        <w:pStyle w:val="Ttulo2"/>
        <w:numPr>
          <w:ilvl w:val="2"/>
          <w:numId w:val="7"/>
        </w:numPr>
        <w:jc w:val="center"/>
        <w:rPr>
          <w:rFonts w:eastAsiaTheme="minorHAnsi"/>
        </w:rPr>
      </w:pPr>
      <w:bookmarkStart w:id="13" w:name="_Toc41378123"/>
      <w:r w:rsidRPr="000C1EC5">
        <w:rPr>
          <w:rFonts w:eastAsiaTheme="minorHAnsi"/>
        </w:rPr>
        <w:t>Proceso Apoyo</w:t>
      </w:r>
      <w:bookmarkEnd w:id="13"/>
    </w:p>
    <w:p w14:paraId="623F0274" w14:textId="77777777" w:rsidR="00BB1EA5" w:rsidRPr="000C1EC5" w:rsidRDefault="00BB1EA5" w:rsidP="00BB1EA5">
      <w:pPr>
        <w:pStyle w:val="Prrafodelista"/>
        <w:spacing w:before="120"/>
        <w:ind w:left="0" w:right="171"/>
        <w:jc w:val="both"/>
        <w:rPr>
          <w:rFonts w:ascii="Arial" w:eastAsiaTheme="minorHAnsi" w:hAnsi="Arial" w:cs="Arial"/>
          <w:sz w:val="20"/>
          <w:szCs w:val="20"/>
          <w:lang w:val="es-US" w:eastAsia="en-US"/>
        </w:rPr>
      </w:pPr>
    </w:p>
    <w:p w14:paraId="264E11EE" w14:textId="6A3F329D" w:rsidR="00BB1EA5" w:rsidRDefault="00BB1EA5" w:rsidP="004335AC">
      <w:pPr>
        <w:pStyle w:val="Prrafodelista"/>
        <w:spacing w:before="120"/>
        <w:ind w:left="-142" w:right="-101"/>
        <w:jc w:val="both"/>
        <w:rPr>
          <w:rFonts w:ascii="Arial" w:eastAsiaTheme="minorHAnsi" w:hAnsi="Arial" w:cs="Arial"/>
          <w:sz w:val="20"/>
          <w:szCs w:val="20"/>
          <w:lang w:val="es-US" w:eastAsia="en-US"/>
        </w:rPr>
      </w:pPr>
      <w:r w:rsidRPr="000C1EC5">
        <w:rPr>
          <w:rFonts w:ascii="Arial" w:eastAsiaTheme="minorHAnsi" w:hAnsi="Arial" w:cs="Arial"/>
          <w:sz w:val="20"/>
          <w:szCs w:val="20"/>
          <w:lang w:val="es-US" w:eastAsia="en-US"/>
        </w:rPr>
        <w:t>De los cuarenta y nueve (49) indicadores de gestión que integran el proceso de Apoyo de la entidad con un peso ponderado de 20 equivalentes al 100% en el periodo</w:t>
      </w:r>
      <w:r w:rsidR="004335AC">
        <w:rPr>
          <w:rFonts w:ascii="Arial" w:eastAsiaTheme="minorHAnsi" w:hAnsi="Arial" w:cs="Arial"/>
          <w:sz w:val="20"/>
          <w:szCs w:val="20"/>
          <w:lang w:val="es-US" w:eastAsia="en-US"/>
        </w:rPr>
        <w:t xml:space="preserve"> se evaluaron </w:t>
      </w:r>
      <w:r w:rsidR="007D2B56">
        <w:rPr>
          <w:rFonts w:ascii="Arial" w:eastAsiaTheme="minorHAnsi" w:hAnsi="Arial" w:cs="Arial"/>
          <w:sz w:val="20"/>
          <w:szCs w:val="20"/>
          <w:lang w:val="es-US" w:eastAsia="en-US"/>
        </w:rPr>
        <w:t>ocho</w:t>
      </w:r>
      <w:r w:rsidR="00C93A80">
        <w:rPr>
          <w:rFonts w:ascii="Arial" w:eastAsiaTheme="minorHAnsi" w:hAnsi="Arial" w:cs="Arial"/>
          <w:sz w:val="20"/>
          <w:szCs w:val="20"/>
          <w:lang w:val="es-US" w:eastAsia="en-US"/>
        </w:rPr>
        <w:t xml:space="preserve"> (</w:t>
      </w:r>
      <w:r w:rsidR="007D2B56">
        <w:rPr>
          <w:rFonts w:ascii="Arial" w:eastAsiaTheme="minorHAnsi" w:hAnsi="Arial" w:cs="Arial"/>
          <w:sz w:val="20"/>
          <w:szCs w:val="20"/>
          <w:lang w:val="es-US" w:eastAsia="en-US"/>
        </w:rPr>
        <w:t>8</w:t>
      </w:r>
      <w:r w:rsidR="004335AC">
        <w:rPr>
          <w:rFonts w:ascii="Arial" w:eastAsiaTheme="minorHAnsi" w:hAnsi="Arial" w:cs="Arial"/>
          <w:sz w:val="20"/>
          <w:szCs w:val="20"/>
          <w:lang w:val="es-US" w:eastAsia="en-US"/>
        </w:rPr>
        <w:t>) indicadores distribuidos así:</w:t>
      </w:r>
    </w:p>
    <w:p w14:paraId="1C129F9F" w14:textId="77777777" w:rsidR="004335AC" w:rsidRDefault="004335AC" w:rsidP="004335AC">
      <w:pPr>
        <w:pStyle w:val="Prrafodelista"/>
        <w:spacing w:before="120"/>
        <w:ind w:left="-142" w:right="-101"/>
        <w:jc w:val="both"/>
        <w:rPr>
          <w:rFonts w:ascii="Arial" w:eastAsiaTheme="minorHAnsi" w:hAnsi="Arial" w:cs="Arial"/>
          <w:sz w:val="20"/>
          <w:szCs w:val="20"/>
          <w:lang w:val="es-US" w:eastAsia="en-US"/>
        </w:rPr>
      </w:pPr>
    </w:p>
    <w:p w14:paraId="1182472B" w14:textId="171629B4" w:rsidR="00C93A80" w:rsidRDefault="00AA1031" w:rsidP="004335AC">
      <w:pPr>
        <w:pStyle w:val="Prrafodelista"/>
        <w:numPr>
          <w:ilvl w:val="0"/>
          <w:numId w:val="4"/>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 xml:space="preserve">Tres </w:t>
      </w:r>
      <w:r w:rsidR="00C93A80">
        <w:rPr>
          <w:rFonts w:ascii="Arial" w:eastAsiaTheme="minorHAnsi" w:hAnsi="Arial" w:cs="Arial"/>
          <w:sz w:val="20"/>
          <w:szCs w:val="20"/>
          <w:lang w:val="es-US" w:eastAsia="en-US"/>
        </w:rPr>
        <w:t>(</w:t>
      </w:r>
      <w:r>
        <w:rPr>
          <w:rFonts w:ascii="Arial" w:eastAsiaTheme="minorHAnsi" w:hAnsi="Arial" w:cs="Arial"/>
          <w:sz w:val="20"/>
          <w:szCs w:val="20"/>
          <w:lang w:val="es-US" w:eastAsia="en-US"/>
        </w:rPr>
        <w:t>3</w:t>
      </w:r>
      <w:r w:rsidR="00C93A80">
        <w:rPr>
          <w:rFonts w:ascii="Arial" w:eastAsiaTheme="minorHAnsi" w:hAnsi="Arial" w:cs="Arial"/>
          <w:sz w:val="20"/>
          <w:szCs w:val="20"/>
          <w:lang w:val="es-US" w:eastAsia="en-US"/>
        </w:rPr>
        <w:t>) indicadores  asociados a la Dirección de Gestión Corporativa con un promedio del cumplimien</w:t>
      </w:r>
      <w:r>
        <w:rPr>
          <w:rFonts w:ascii="Arial" w:eastAsiaTheme="minorHAnsi" w:hAnsi="Arial" w:cs="Arial"/>
          <w:sz w:val="20"/>
          <w:szCs w:val="20"/>
          <w:lang w:val="es-US" w:eastAsia="en-US"/>
        </w:rPr>
        <w:t>to en el periodo evaluado del 113</w:t>
      </w:r>
      <w:r w:rsidR="00C93A80">
        <w:rPr>
          <w:rFonts w:ascii="Arial" w:eastAsiaTheme="minorHAnsi" w:hAnsi="Arial" w:cs="Arial"/>
          <w:sz w:val="20"/>
          <w:szCs w:val="20"/>
          <w:lang w:val="es-US" w:eastAsia="en-US"/>
        </w:rPr>
        <w:t>%.</w:t>
      </w:r>
    </w:p>
    <w:p w14:paraId="4DF0FD22" w14:textId="77777777" w:rsidR="00C93A80" w:rsidRDefault="00C93A80" w:rsidP="00C93A80">
      <w:pPr>
        <w:pStyle w:val="Prrafodelista"/>
        <w:spacing w:before="120"/>
        <w:ind w:left="578" w:right="-101"/>
        <w:jc w:val="both"/>
        <w:rPr>
          <w:rFonts w:ascii="Arial" w:eastAsiaTheme="minorHAnsi" w:hAnsi="Arial" w:cs="Arial"/>
          <w:sz w:val="20"/>
          <w:szCs w:val="20"/>
          <w:lang w:val="es-US" w:eastAsia="en-US"/>
        </w:rPr>
      </w:pPr>
    </w:p>
    <w:p w14:paraId="593DBBB5" w14:textId="6558D956" w:rsidR="00BB1EA5" w:rsidRDefault="00AA1031" w:rsidP="00AA1031">
      <w:pPr>
        <w:pStyle w:val="Prrafodelista"/>
        <w:numPr>
          <w:ilvl w:val="0"/>
          <w:numId w:val="4"/>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 xml:space="preserve">Dos (2) indicadores asociados a la Dirección de Planeación y Sistemas de Información  Ambiental </w:t>
      </w:r>
      <w:r w:rsidR="007D2B56">
        <w:rPr>
          <w:rFonts w:ascii="Arial" w:eastAsiaTheme="minorHAnsi" w:hAnsi="Arial" w:cs="Arial"/>
          <w:sz w:val="20"/>
          <w:szCs w:val="20"/>
          <w:lang w:val="es-US" w:eastAsia="en-US"/>
        </w:rPr>
        <w:t>con un promedio de cumplimiento en el periodo evaluado del 108%</w:t>
      </w:r>
    </w:p>
    <w:p w14:paraId="1C96A44B" w14:textId="77777777" w:rsidR="007D2B56" w:rsidRPr="007D2B56" w:rsidRDefault="007D2B56" w:rsidP="007D2B56">
      <w:pPr>
        <w:pStyle w:val="Prrafodelista"/>
        <w:rPr>
          <w:rFonts w:ascii="Arial" w:eastAsiaTheme="minorHAnsi" w:hAnsi="Arial" w:cs="Arial"/>
          <w:sz w:val="20"/>
          <w:szCs w:val="20"/>
          <w:lang w:val="es-US" w:eastAsia="en-US"/>
        </w:rPr>
      </w:pPr>
    </w:p>
    <w:p w14:paraId="17AA3875" w14:textId="55B5F036" w:rsidR="007D2B56" w:rsidRDefault="007D2B56" w:rsidP="007D2B56">
      <w:pPr>
        <w:pStyle w:val="Prrafodelista"/>
        <w:numPr>
          <w:ilvl w:val="0"/>
          <w:numId w:val="4"/>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Dos (2) indicadores asociados a la Subdirección Financiera con un promedio de cumplimiento en el periodo evaluado del 47%</w:t>
      </w:r>
    </w:p>
    <w:p w14:paraId="3F1B6E0D" w14:textId="77777777" w:rsidR="007D2B56" w:rsidRPr="007D2B56" w:rsidRDefault="007D2B56" w:rsidP="007D2B56">
      <w:pPr>
        <w:pStyle w:val="Prrafodelista"/>
        <w:rPr>
          <w:rFonts w:ascii="Arial" w:eastAsiaTheme="minorHAnsi" w:hAnsi="Arial" w:cs="Arial"/>
          <w:sz w:val="20"/>
          <w:szCs w:val="20"/>
          <w:lang w:val="es-US" w:eastAsia="en-US"/>
        </w:rPr>
      </w:pPr>
    </w:p>
    <w:p w14:paraId="3FCD3949" w14:textId="7C3B2E87" w:rsidR="007D2B56" w:rsidRDefault="007D2B56" w:rsidP="007D2B56">
      <w:pPr>
        <w:pStyle w:val="Prrafodelista"/>
        <w:numPr>
          <w:ilvl w:val="0"/>
          <w:numId w:val="4"/>
        </w:numPr>
        <w:spacing w:before="120"/>
        <w:ind w:right="-101"/>
        <w:jc w:val="both"/>
        <w:rPr>
          <w:rFonts w:ascii="Arial" w:eastAsiaTheme="minorHAnsi" w:hAnsi="Arial" w:cs="Arial"/>
          <w:sz w:val="20"/>
          <w:szCs w:val="20"/>
          <w:lang w:val="es-US" w:eastAsia="en-US"/>
        </w:rPr>
      </w:pPr>
      <w:r>
        <w:rPr>
          <w:rFonts w:ascii="Arial" w:eastAsiaTheme="minorHAnsi" w:hAnsi="Arial" w:cs="Arial"/>
          <w:sz w:val="20"/>
          <w:szCs w:val="20"/>
          <w:lang w:val="es-US" w:eastAsia="en-US"/>
        </w:rPr>
        <w:t>Un (1) indicador asociado a la Subsecretaria General y de Control Disciplinario con un promedio de cumplimiento en el periodo evaluado del 100%</w:t>
      </w:r>
    </w:p>
    <w:p w14:paraId="4B967023" w14:textId="77777777" w:rsidR="007D2B56" w:rsidRDefault="007D2B56" w:rsidP="007D2B56">
      <w:pPr>
        <w:pStyle w:val="Prrafodelista"/>
        <w:spacing w:before="120"/>
        <w:ind w:left="578" w:right="-101"/>
        <w:jc w:val="both"/>
        <w:rPr>
          <w:rFonts w:ascii="Arial" w:eastAsiaTheme="minorHAnsi" w:hAnsi="Arial" w:cs="Arial"/>
          <w:sz w:val="20"/>
          <w:szCs w:val="20"/>
          <w:lang w:val="es-US" w:eastAsia="en-US"/>
        </w:rPr>
      </w:pPr>
    </w:p>
    <w:p w14:paraId="3056E96B" w14:textId="77777777" w:rsidR="0060586E" w:rsidRPr="000C1EC5" w:rsidRDefault="0060586E" w:rsidP="00BB1EA5">
      <w:pPr>
        <w:pStyle w:val="Prrafodelista"/>
        <w:spacing w:before="120"/>
        <w:ind w:left="-142" w:right="-101"/>
        <w:jc w:val="both"/>
        <w:rPr>
          <w:rFonts w:ascii="Arial" w:eastAsiaTheme="minorHAnsi" w:hAnsi="Arial" w:cs="Arial"/>
          <w:sz w:val="20"/>
          <w:szCs w:val="20"/>
          <w:lang w:val="es-US" w:eastAsia="en-US"/>
        </w:rPr>
      </w:pPr>
    </w:p>
    <w:p w14:paraId="11457F79" w14:textId="3243B093" w:rsidR="00BB1EA5" w:rsidRPr="000C1EC5" w:rsidRDefault="00BB1EA5" w:rsidP="00F76B16">
      <w:pPr>
        <w:pStyle w:val="Ttulo2"/>
        <w:numPr>
          <w:ilvl w:val="2"/>
          <w:numId w:val="7"/>
        </w:numPr>
        <w:jc w:val="center"/>
        <w:rPr>
          <w:rFonts w:eastAsiaTheme="minorHAnsi"/>
        </w:rPr>
      </w:pPr>
      <w:bookmarkStart w:id="14" w:name="_Toc41378124"/>
      <w:r w:rsidRPr="00654113">
        <w:rPr>
          <w:rFonts w:eastAsiaTheme="minorHAnsi"/>
        </w:rPr>
        <w:t>Proceso Control y Evaluación</w:t>
      </w:r>
      <w:bookmarkEnd w:id="14"/>
    </w:p>
    <w:p w14:paraId="3237F104" w14:textId="77777777" w:rsidR="00BB1EA5" w:rsidRPr="000C1EC5" w:rsidRDefault="00BB1EA5" w:rsidP="00BB1EA5">
      <w:pPr>
        <w:pStyle w:val="Prrafodelista"/>
        <w:spacing w:before="120"/>
        <w:ind w:left="0" w:right="171"/>
        <w:jc w:val="both"/>
        <w:rPr>
          <w:rFonts w:ascii="Arial" w:eastAsiaTheme="minorHAnsi" w:hAnsi="Arial" w:cs="Arial"/>
          <w:sz w:val="20"/>
          <w:szCs w:val="20"/>
          <w:lang w:val="es-US" w:eastAsia="en-US"/>
        </w:rPr>
      </w:pPr>
    </w:p>
    <w:p w14:paraId="008777E7" w14:textId="356334DC" w:rsidR="00107C2F" w:rsidRPr="00654113" w:rsidRDefault="00BB1EA5" w:rsidP="00654113">
      <w:pPr>
        <w:pStyle w:val="Prrafodelista"/>
        <w:spacing w:before="120"/>
        <w:ind w:left="-142" w:right="-101"/>
        <w:jc w:val="both"/>
        <w:rPr>
          <w:rFonts w:ascii="Arial" w:eastAsiaTheme="minorHAnsi" w:hAnsi="Arial" w:cs="Arial"/>
          <w:sz w:val="20"/>
          <w:szCs w:val="20"/>
          <w:lang w:val="es-US" w:eastAsia="en-US"/>
        </w:rPr>
      </w:pPr>
      <w:r w:rsidRPr="000C1EC5">
        <w:rPr>
          <w:rFonts w:ascii="Arial" w:eastAsiaTheme="minorHAnsi" w:hAnsi="Arial" w:cs="Arial"/>
          <w:sz w:val="20"/>
          <w:szCs w:val="20"/>
          <w:lang w:val="es-US" w:eastAsia="en-US"/>
        </w:rPr>
        <w:t>El proceso de Cont</w:t>
      </w:r>
      <w:r w:rsidR="00107C2F">
        <w:rPr>
          <w:rFonts w:ascii="Arial" w:eastAsiaTheme="minorHAnsi" w:hAnsi="Arial" w:cs="Arial"/>
          <w:sz w:val="20"/>
          <w:szCs w:val="20"/>
          <w:lang w:val="es-US" w:eastAsia="en-US"/>
        </w:rPr>
        <w:t>rol y Evaluación integra cuatro (4</w:t>
      </w:r>
      <w:r w:rsidRPr="000C1EC5">
        <w:rPr>
          <w:rFonts w:ascii="Arial" w:eastAsiaTheme="minorHAnsi" w:hAnsi="Arial" w:cs="Arial"/>
          <w:sz w:val="20"/>
          <w:szCs w:val="20"/>
          <w:lang w:val="es-US" w:eastAsia="en-US"/>
        </w:rPr>
        <w:t xml:space="preserve">) indicadores con un peso ponderado de 10%; para el </w:t>
      </w:r>
      <w:r w:rsidR="00654113">
        <w:rPr>
          <w:rFonts w:ascii="Arial" w:eastAsiaTheme="minorHAnsi" w:hAnsi="Arial" w:cs="Arial"/>
          <w:sz w:val="20"/>
          <w:szCs w:val="20"/>
          <w:lang w:val="es-US" w:eastAsia="en-US"/>
        </w:rPr>
        <w:t>mes de abril</w:t>
      </w:r>
      <w:r w:rsidRPr="000C1EC5">
        <w:rPr>
          <w:rFonts w:ascii="Arial" w:eastAsiaTheme="minorHAnsi" w:hAnsi="Arial" w:cs="Arial"/>
          <w:sz w:val="20"/>
          <w:szCs w:val="20"/>
          <w:lang w:val="es-US" w:eastAsia="en-US"/>
        </w:rPr>
        <w:t xml:space="preserve"> el proceso de Control y Mejora </w:t>
      </w:r>
      <w:r w:rsidR="00107C2F">
        <w:rPr>
          <w:rFonts w:ascii="Arial" w:eastAsiaTheme="minorHAnsi" w:hAnsi="Arial" w:cs="Arial"/>
          <w:sz w:val="20"/>
          <w:szCs w:val="20"/>
          <w:lang w:val="es-US" w:eastAsia="en-US"/>
        </w:rPr>
        <w:t xml:space="preserve">presenta </w:t>
      </w:r>
      <w:r w:rsidR="00654113">
        <w:rPr>
          <w:rFonts w:ascii="Arial" w:eastAsiaTheme="minorHAnsi" w:hAnsi="Arial" w:cs="Arial"/>
          <w:sz w:val="20"/>
          <w:szCs w:val="20"/>
          <w:lang w:val="es-US" w:eastAsia="en-US"/>
        </w:rPr>
        <w:t xml:space="preserve">reporte de un (1) indicador </w:t>
      </w:r>
      <w:r w:rsidR="009F3DEA" w:rsidRPr="00654113">
        <w:rPr>
          <w:rFonts w:ascii="Arial" w:eastAsiaTheme="minorHAnsi" w:hAnsi="Arial" w:cs="Arial"/>
          <w:sz w:val="20"/>
          <w:szCs w:val="20"/>
          <w:lang w:val="es-US" w:eastAsia="en-US"/>
        </w:rPr>
        <w:t xml:space="preserve">asociado </w:t>
      </w:r>
      <w:r w:rsidR="00654113">
        <w:rPr>
          <w:rFonts w:ascii="Arial" w:eastAsiaTheme="minorHAnsi" w:hAnsi="Arial" w:cs="Arial"/>
          <w:sz w:val="20"/>
          <w:szCs w:val="20"/>
          <w:lang w:val="es-US" w:eastAsia="en-US"/>
        </w:rPr>
        <w:t xml:space="preserve">a la </w:t>
      </w:r>
      <w:r w:rsidR="009F3DEA" w:rsidRPr="00654113">
        <w:rPr>
          <w:rFonts w:ascii="Arial" w:eastAsiaTheme="minorHAnsi" w:hAnsi="Arial" w:cs="Arial"/>
          <w:sz w:val="20"/>
          <w:szCs w:val="20"/>
          <w:lang w:val="es-US" w:eastAsia="en-US"/>
        </w:rPr>
        <w:t xml:space="preserve">Subsecretaria General y de Control Disciplinario con un cumplimiento </w:t>
      </w:r>
      <w:r w:rsidR="00644B57" w:rsidRPr="00654113">
        <w:rPr>
          <w:rFonts w:ascii="Arial" w:eastAsiaTheme="minorHAnsi" w:hAnsi="Arial" w:cs="Arial"/>
          <w:sz w:val="20"/>
          <w:szCs w:val="20"/>
          <w:lang w:val="es-US" w:eastAsia="en-US"/>
        </w:rPr>
        <w:t>en el periodo evaluado del 100%</w:t>
      </w:r>
    </w:p>
    <w:p w14:paraId="680F95AF" w14:textId="77777777" w:rsidR="00BB1EA5" w:rsidRPr="000C1EC5" w:rsidRDefault="00BB1EA5" w:rsidP="00BB1EA5">
      <w:pPr>
        <w:pStyle w:val="Prrafodelista"/>
        <w:spacing w:before="120"/>
        <w:ind w:left="-142" w:right="-101"/>
        <w:jc w:val="both"/>
        <w:rPr>
          <w:rFonts w:ascii="Arial" w:hAnsi="Arial" w:cs="Arial"/>
          <w:sz w:val="20"/>
          <w:szCs w:val="20"/>
          <w:lang w:val="es-ES"/>
        </w:rPr>
      </w:pPr>
    </w:p>
    <w:p w14:paraId="38EE4054" w14:textId="3D7E5B9B" w:rsidR="00BB1EA5" w:rsidRDefault="00BB1EA5" w:rsidP="00BB1EA5">
      <w:pPr>
        <w:pStyle w:val="Prrafodelista"/>
        <w:spacing w:before="120"/>
        <w:ind w:left="-142" w:right="-101"/>
        <w:jc w:val="both"/>
        <w:rPr>
          <w:rFonts w:ascii="Arial" w:hAnsi="Arial" w:cs="Arial"/>
          <w:sz w:val="20"/>
          <w:szCs w:val="20"/>
        </w:rPr>
      </w:pPr>
      <w:r w:rsidRPr="000C1EC5">
        <w:rPr>
          <w:rFonts w:ascii="Arial" w:hAnsi="Arial" w:cs="Arial"/>
          <w:sz w:val="20"/>
          <w:szCs w:val="20"/>
          <w:lang w:val="es-CO"/>
        </w:rPr>
        <w:t xml:space="preserve">La </w:t>
      </w:r>
      <w:r w:rsidRPr="000C1EC5">
        <w:rPr>
          <w:rFonts w:ascii="Arial" w:hAnsi="Arial" w:cs="Arial"/>
          <w:sz w:val="20"/>
          <w:szCs w:val="20"/>
          <w:lang w:val="es-ES"/>
        </w:rPr>
        <w:t>gestión</w:t>
      </w:r>
      <w:r w:rsidRPr="000C1EC5">
        <w:rPr>
          <w:rFonts w:ascii="Arial" w:hAnsi="Arial" w:cs="Arial"/>
          <w:sz w:val="20"/>
          <w:szCs w:val="20"/>
          <w:lang w:val="es-CO"/>
        </w:rPr>
        <w:t xml:space="preserve"> adelantada por procesos en la entidad corresponde al </w:t>
      </w:r>
      <w:r w:rsidR="00654113">
        <w:rPr>
          <w:rFonts w:ascii="Arial" w:hAnsi="Arial" w:cs="Arial"/>
          <w:b/>
          <w:sz w:val="20"/>
          <w:szCs w:val="20"/>
          <w:lang w:val="es-CO"/>
        </w:rPr>
        <w:t>89.96</w:t>
      </w:r>
      <w:r w:rsidRPr="000C1EC5">
        <w:rPr>
          <w:rFonts w:ascii="Arial" w:hAnsi="Arial" w:cs="Arial"/>
          <w:b/>
          <w:sz w:val="20"/>
          <w:szCs w:val="20"/>
          <w:lang w:val="es-CO"/>
        </w:rPr>
        <w:t xml:space="preserve">%, </w:t>
      </w:r>
      <w:r w:rsidRPr="000C1EC5">
        <w:rPr>
          <w:rFonts w:ascii="Arial" w:hAnsi="Arial" w:cs="Arial"/>
          <w:sz w:val="20"/>
          <w:szCs w:val="20"/>
          <w:lang w:val="es-CO"/>
        </w:rPr>
        <w:t>que la ubica en un nivel sobresaliente de evaluación.</w:t>
      </w:r>
      <w:r w:rsidRPr="000C1EC5">
        <w:rPr>
          <w:rFonts w:ascii="Arial" w:hAnsi="Arial" w:cs="Arial"/>
          <w:sz w:val="20"/>
          <w:szCs w:val="20"/>
        </w:rPr>
        <w:t xml:space="preserve"> </w:t>
      </w:r>
    </w:p>
    <w:p w14:paraId="2726AF15" w14:textId="2C0AD667" w:rsidR="00AB6725" w:rsidRDefault="00AB6725" w:rsidP="00BB1EA5">
      <w:pPr>
        <w:pStyle w:val="Prrafodelista"/>
        <w:spacing w:before="120"/>
        <w:ind w:left="-142" w:right="-101"/>
        <w:jc w:val="both"/>
        <w:rPr>
          <w:rFonts w:ascii="Arial" w:hAnsi="Arial" w:cs="Arial"/>
          <w:sz w:val="20"/>
          <w:szCs w:val="20"/>
        </w:rPr>
      </w:pPr>
    </w:p>
    <w:p w14:paraId="3AA571EE" w14:textId="01248F1F" w:rsidR="00BB1EA5" w:rsidRDefault="00BB1EA5" w:rsidP="00CB2230">
      <w:pPr>
        <w:pStyle w:val="Ttulo1"/>
        <w:numPr>
          <w:ilvl w:val="0"/>
          <w:numId w:val="7"/>
        </w:numPr>
        <w:jc w:val="center"/>
      </w:pPr>
      <w:bookmarkStart w:id="15" w:name="_Toc41378125"/>
      <w:r w:rsidRPr="00AB6725">
        <w:lastRenderedPageBreak/>
        <w:t>Evaluación por Objetivo de Calidad</w:t>
      </w:r>
      <w:bookmarkEnd w:id="15"/>
    </w:p>
    <w:p w14:paraId="781098B7" w14:textId="3BCF941C" w:rsidR="00644B57" w:rsidRPr="00AB6725" w:rsidRDefault="00644B57" w:rsidP="00BB1EA5">
      <w:pPr>
        <w:ind w:left="284"/>
        <w:rPr>
          <w:rFonts w:ascii="Arial" w:hAnsi="Arial" w:cs="Arial"/>
          <w:b/>
          <w:sz w:val="20"/>
          <w:szCs w:val="20"/>
        </w:rPr>
      </w:pPr>
    </w:p>
    <w:p w14:paraId="2FBF9BD8" w14:textId="2FDD2469" w:rsidR="00BB1EA5" w:rsidRDefault="00972111" w:rsidP="00654113">
      <w:pPr>
        <w:jc w:val="center"/>
        <w:rPr>
          <w:rFonts w:ascii="Arial" w:hAnsi="Arial" w:cs="Arial"/>
          <w:sz w:val="20"/>
          <w:szCs w:val="20"/>
        </w:rPr>
      </w:pPr>
      <w:r>
        <w:rPr>
          <w:noProof/>
          <w:lang w:val="es-CO" w:eastAsia="es-CO"/>
        </w:rPr>
        <w:drawing>
          <wp:anchor distT="0" distB="0" distL="114300" distR="114300" simplePos="0" relativeHeight="251680768" behindDoc="0" locked="0" layoutInCell="1" allowOverlap="1" wp14:anchorId="694DDBEA" wp14:editId="753C2352">
            <wp:simplePos x="0" y="0"/>
            <wp:positionH relativeFrom="margin">
              <wp:align>center</wp:align>
            </wp:positionH>
            <wp:positionV relativeFrom="paragraph">
              <wp:posOffset>263525</wp:posOffset>
            </wp:positionV>
            <wp:extent cx="7052393" cy="3895145"/>
            <wp:effectExtent l="0" t="0" r="0" b="0"/>
            <wp:wrapNone/>
            <wp:docPr id="1" name="Gráfic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4CA6E94" w14:textId="0998395C" w:rsidR="00F31B5D" w:rsidRDefault="00F31B5D" w:rsidP="00BB1EA5">
      <w:pPr>
        <w:rPr>
          <w:rFonts w:ascii="Arial" w:hAnsi="Arial" w:cs="Arial"/>
          <w:sz w:val="20"/>
          <w:szCs w:val="20"/>
        </w:rPr>
      </w:pPr>
    </w:p>
    <w:p w14:paraId="56EA9CFB" w14:textId="02E0C337" w:rsidR="00F31B5D" w:rsidRDefault="00F31B5D" w:rsidP="00BB1EA5">
      <w:pPr>
        <w:rPr>
          <w:rFonts w:ascii="Arial" w:hAnsi="Arial" w:cs="Arial"/>
          <w:sz w:val="20"/>
          <w:szCs w:val="20"/>
        </w:rPr>
      </w:pPr>
    </w:p>
    <w:p w14:paraId="1D23E95B" w14:textId="0C0D26AF" w:rsidR="002A74F3" w:rsidRDefault="002A74F3" w:rsidP="00BB1EA5">
      <w:pPr>
        <w:rPr>
          <w:rFonts w:ascii="Arial" w:hAnsi="Arial" w:cs="Arial"/>
          <w:sz w:val="20"/>
          <w:szCs w:val="20"/>
        </w:rPr>
      </w:pPr>
    </w:p>
    <w:p w14:paraId="1914D847" w14:textId="76A809C9" w:rsidR="002A74F3" w:rsidRDefault="002A74F3" w:rsidP="00BB1EA5">
      <w:pPr>
        <w:rPr>
          <w:rFonts w:ascii="Arial" w:hAnsi="Arial" w:cs="Arial"/>
          <w:sz w:val="20"/>
          <w:szCs w:val="20"/>
        </w:rPr>
      </w:pPr>
    </w:p>
    <w:p w14:paraId="6244C6E3" w14:textId="46946D8F" w:rsidR="00654113" w:rsidRDefault="00654113" w:rsidP="00BB1EA5">
      <w:pPr>
        <w:rPr>
          <w:rFonts w:ascii="Arial" w:hAnsi="Arial" w:cs="Arial"/>
          <w:sz w:val="20"/>
          <w:szCs w:val="20"/>
        </w:rPr>
      </w:pPr>
    </w:p>
    <w:p w14:paraId="038EE961" w14:textId="77777777" w:rsidR="00654113" w:rsidRDefault="00654113" w:rsidP="00BB1EA5">
      <w:pPr>
        <w:rPr>
          <w:rFonts w:ascii="Arial" w:hAnsi="Arial" w:cs="Arial"/>
          <w:sz w:val="20"/>
          <w:szCs w:val="20"/>
        </w:rPr>
      </w:pPr>
    </w:p>
    <w:p w14:paraId="1C9BEBD5" w14:textId="40561846" w:rsidR="00654113" w:rsidRDefault="00654113" w:rsidP="00BB1EA5">
      <w:pPr>
        <w:rPr>
          <w:rFonts w:ascii="Arial" w:hAnsi="Arial" w:cs="Arial"/>
          <w:sz w:val="20"/>
          <w:szCs w:val="20"/>
        </w:rPr>
      </w:pPr>
    </w:p>
    <w:p w14:paraId="24B309B2" w14:textId="1AF8FB3C" w:rsidR="00654113" w:rsidRDefault="00654113" w:rsidP="00BB1EA5">
      <w:pPr>
        <w:rPr>
          <w:rFonts w:ascii="Arial" w:hAnsi="Arial" w:cs="Arial"/>
          <w:sz w:val="20"/>
          <w:szCs w:val="20"/>
        </w:rPr>
      </w:pPr>
    </w:p>
    <w:p w14:paraId="0387B7CD" w14:textId="77777777" w:rsidR="00654113" w:rsidRDefault="00654113" w:rsidP="00BB1EA5">
      <w:pPr>
        <w:rPr>
          <w:rFonts w:ascii="Arial" w:hAnsi="Arial" w:cs="Arial"/>
          <w:sz w:val="20"/>
          <w:szCs w:val="20"/>
        </w:rPr>
      </w:pPr>
    </w:p>
    <w:p w14:paraId="08A2E78D" w14:textId="77777777" w:rsidR="00654113" w:rsidRDefault="00654113" w:rsidP="00BB1EA5">
      <w:pPr>
        <w:rPr>
          <w:rFonts w:ascii="Arial" w:hAnsi="Arial" w:cs="Arial"/>
          <w:sz w:val="20"/>
          <w:szCs w:val="20"/>
        </w:rPr>
      </w:pPr>
    </w:p>
    <w:p w14:paraId="6C99C8EA" w14:textId="77777777" w:rsidR="00654113" w:rsidRDefault="00654113" w:rsidP="00BB1EA5">
      <w:pPr>
        <w:rPr>
          <w:rFonts w:ascii="Arial" w:hAnsi="Arial" w:cs="Arial"/>
          <w:sz w:val="20"/>
          <w:szCs w:val="20"/>
        </w:rPr>
      </w:pPr>
    </w:p>
    <w:p w14:paraId="62BD97CA" w14:textId="77777777" w:rsidR="00654113" w:rsidRDefault="00654113" w:rsidP="00BB1EA5">
      <w:pPr>
        <w:rPr>
          <w:rFonts w:ascii="Arial" w:hAnsi="Arial" w:cs="Arial"/>
          <w:sz w:val="20"/>
          <w:szCs w:val="20"/>
        </w:rPr>
      </w:pPr>
    </w:p>
    <w:p w14:paraId="1E75180C" w14:textId="77777777" w:rsidR="00654113" w:rsidRDefault="00654113" w:rsidP="00BB1EA5">
      <w:pPr>
        <w:rPr>
          <w:rFonts w:ascii="Arial" w:hAnsi="Arial" w:cs="Arial"/>
          <w:sz w:val="20"/>
          <w:szCs w:val="20"/>
        </w:rPr>
      </w:pPr>
    </w:p>
    <w:p w14:paraId="0D283AE9" w14:textId="77777777" w:rsidR="00654113" w:rsidRDefault="00654113" w:rsidP="00BB1EA5">
      <w:pPr>
        <w:rPr>
          <w:rFonts w:ascii="Arial" w:hAnsi="Arial" w:cs="Arial"/>
          <w:sz w:val="20"/>
          <w:szCs w:val="20"/>
        </w:rPr>
      </w:pPr>
    </w:p>
    <w:p w14:paraId="5B68B91C" w14:textId="77777777" w:rsidR="00654113" w:rsidRDefault="00654113" w:rsidP="00BB1EA5">
      <w:pPr>
        <w:rPr>
          <w:rFonts w:ascii="Arial" w:hAnsi="Arial" w:cs="Arial"/>
          <w:sz w:val="20"/>
          <w:szCs w:val="20"/>
        </w:rPr>
      </w:pPr>
    </w:p>
    <w:p w14:paraId="5B92576A" w14:textId="77777777" w:rsidR="00654113" w:rsidRDefault="00654113" w:rsidP="00BB1EA5">
      <w:pPr>
        <w:rPr>
          <w:rFonts w:ascii="Arial" w:hAnsi="Arial" w:cs="Arial"/>
          <w:sz w:val="20"/>
          <w:szCs w:val="20"/>
        </w:rPr>
      </w:pPr>
    </w:p>
    <w:p w14:paraId="18305B19" w14:textId="77777777" w:rsidR="00654113" w:rsidRDefault="00654113" w:rsidP="00BB1EA5">
      <w:pPr>
        <w:rPr>
          <w:rFonts w:ascii="Arial" w:hAnsi="Arial" w:cs="Arial"/>
          <w:sz w:val="20"/>
          <w:szCs w:val="20"/>
        </w:rPr>
      </w:pPr>
    </w:p>
    <w:p w14:paraId="4FB9E4C6" w14:textId="5D8E28FA" w:rsidR="002A74F3" w:rsidRDefault="00BD2F7C" w:rsidP="004237BB">
      <w:pPr>
        <w:jc w:val="both"/>
        <w:rPr>
          <w:rFonts w:ascii="Arial" w:hAnsi="Arial" w:cs="Arial"/>
          <w:sz w:val="20"/>
          <w:szCs w:val="20"/>
        </w:rPr>
      </w:pPr>
      <w:r>
        <w:rPr>
          <w:rFonts w:ascii="Arial" w:hAnsi="Arial" w:cs="Arial"/>
          <w:sz w:val="20"/>
          <w:szCs w:val="20"/>
        </w:rPr>
        <w:t xml:space="preserve">En la evaluación de la entidad  resultado de la medición del mes de abril se puede evidenciar el peso mensual de </w:t>
      </w:r>
      <w:r w:rsidR="004237BB">
        <w:rPr>
          <w:rFonts w:ascii="Arial" w:hAnsi="Arial" w:cs="Arial"/>
          <w:sz w:val="20"/>
          <w:szCs w:val="20"/>
        </w:rPr>
        <w:t xml:space="preserve">total por entidad es del 82.13%, el cual se encuentra distribuido de la siguiente manera por cada proceso con su respectivo peso porcentual del mes evaluado, proceso estratégico 20%, procesos misional 40.89%, proceso de apoyo 21.24% y el proceso de evaluación y control no presenta reportes para el mes de abril, debido a que sus reportes son trimestrales por lo tanto no se cuenta con peso mensual reportado. </w:t>
      </w:r>
    </w:p>
    <w:p w14:paraId="561AA16A" w14:textId="77777777" w:rsidR="00972111" w:rsidRDefault="00972111" w:rsidP="00BB1EA5">
      <w:pPr>
        <w:rPr>
          <w:rFonts w:ascii="Arial" w:hAnsi="Arial" w:cs="Arial"/>
          <w:sz w:val="20"/>
          <w:szCs w:val="20"/>
        </w:rPr>
      </w:pPr>
    </w:p>
    <w:p w14:paraId="6B5ECBA0" w14:textId="77777777" w:rsidR="00972111" w:rsidRDefault="00972111" w:rsidP="00BB1EA5">
      <w:pPr>
        <w:rPr>
          <w:rFonts w:ascii="Arial" w:hAnsi="Arial" w:cs="Arial"/>
          <w:sz w:val="20"/>
          <w:szCs w:val="20"/>
        </w:rPr>
      </w:pPr>
    </w:p>
    <w:p w14:paraId="2EB6B608" w14:textId="77777777" w:rsidR="00972111" w:rsidRDefault="00972111" w:rsidP="00BB1EA5">
      <w:pPr>
        <w:rPr>
          <w:rFonts w:ascii="Arial" w:hAnsi="Arial" w:cs="Arial"/>
          <w:sz w:val="20"/>
          <w:szCs w:val="20"/>
        </w:rPr>
      </w:pPr>
    </w:p>
    <w:p w14:paraId="327222F4" w14:textId="77777777" w:rsidR="00972111" w:rsidRDefault="00972111" w:rsidP="00BB1EA5">
      <w:pPr>
        <w:rPr>
          <w:rFonts w:ascii="Arial" w:hAnsi="Arial" w:cs="Arial"/>
          <w:sz w:val="20"/>
          <w:szCs w:val="20"/>
        </w:rPr>
      </w:pPr>
    </w:p>
    <w:p w14:paraId="5FB3C082" w14:textId="77777777" w:rsidR="00972111" w:rsidRDefault="00972111" w:rsidP="00BB1EA5">
      <w:pPr>
        <w:rPr>
          <w:rFonts w:ascii="Arial" w:hAnsi="Arial" w:cs="Arial"/>
          <w:sz w:val="20"/>
          <w:szCs w:val="20"/>
        </w:rPr>
      </w:pPr>
    </w:p>
    <w:p w14:paraId="51EE622E" w14:textId="77777777" w:rsidR="00F31B5D" w:rsidRDefault="00F31B5D" w:rsidP="00BB1EA5">
      <w:pPr>
        <w:rPr>
          <w:rFonts w:ascii="Arial" w:hAnsi="Arial" w:cs="Arial"/>
          <w:sz w:val="20"/>
          <w:szCs w:val="20"/>
        </w:rPr>
      </w:pPr>
    </w:p>
    <w:p w14:paraId="41396B95" w14:textId="77777777" w:rsidR="00C6711A" w:rsidRDefault="00C6711A" w:rsidP="00BB1EA5">
      <w:pPr>
        <w:rPr>
          <w:rFonts w:ascii="Arial" w:hAnsi="Arial" w:cs="Arial"/>
          <w:sz w:val="20"/>
          <w:szCs w:val="20"/>
        </w:rPr>
      </w:pPr>
    </w:p>
    <w:tbl>
      <w:tblPr>
        <w:tblW w:w="11175" w:type="dxa"/>
        <w:tblInd w:w="-1139" w:type="dxa"/>
        <w:tblCellMar>
          <w:left w:w="70" w:type="dxa"/>
          <w:right w:w="70" w:type="dxa"/>
        </w:tblCellMar>
        <w:tblLook w:val="04A0" w:firstRow="1" w:lastRow="0" w:firstColumn="1" w:lastColumn="0" w:noHBand="0" w:noVBand="1"/>
      </w:tblPr>
      <w:tblGrid>
        <w:gridCol w:w="4488"/>
        <w:gridCol w:w="1245"/>
        <w:gridCol w:w="1245"/>
        <w:gridCol w:w="1048"/>
        <w:gridCol w:w="791"/>
        <w:gridCol w:w="1179"/>
        <w:gridCol w:w="1179"/>
      </w:tblGrid>
      <w:tr w:rsidR="00E90B2B" w:rsidRPr="00E90B2B" w14:paraId="00EA7FBB" w14:textId="77777777" w:rsidTr="00E90B2B">
        <w:trPr>
          <w:trHeight w:val="1915"/>
        </w:trPr>
        <w:tc>
          <w:tcPr>
            <w:tcW w:w="4488" w:type="dxa"/>
            <w:tcBorders>
              <w:top w:val="single" w:sz="4" w:space="0" w:color="0E57C5"/>
              <w:left w:val="single" w:sz="4" w:space="0" w:color="0E57C5"/>
              <w:bottom w:val="single" w:sz="4" w:space="0" w:color="0E57C5"/>
              <w:right w:val="single" w:sz="4" w:space="0" w:color="0E57C5"/>
            </w:tcBorders>
            <w:shd w:val="clear" w:color="000000" w:fill="FFC000"/>
            <w:vAlign w:val="center"/>
            <w:hideMark/>
          </w:tcPr>
          <w:p w14:paraId="7AC3CE85"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lastRenderedPageBreak/>
              <w:t>Objetivo de Calidad</w:t>
            </w:r>
          </w:p>
        </w:tc>
        <w:tc>
          <w:tcPr>
            <w:tcW w:w="1245" w:type="dxa"/>
            <w:tcBorders>
              <w:top w:val="single" w:sz="4" w:space="0" w:color="0E57C5"/>
              <w:left w:val="nil"/>
              <w:bottom w:val="single" w:sz="4" w:space="0" w:color="0E57C5"/>
              <w:right w:val="single" w:sz="4" w:space="0" w:color="0E57C5"/>
            </w:tcBorders>
            <w:shd w:val="clear" w:color="000000" w:fill="FFC000"/>
            <w:vAlign w:val="center"/>
            <w:hideMark/>
          </w:tcPr>
          <w:p w14:paraId="44D6AD5E"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t>No. Indicadores asociados por objetivo</w:t>
            </w:r>
          </w:p>
        </w:tc>
        <w:tc>
          <w:tcPr>
            <w:tcW w:w="1245" w:type="dxa"/>
            <w:tcBorders>
              <w:top w:val="single" w:sz="4" w:space="0" w:color="0E57C5"/>
              <w:left w:val="nil"/>
              <w:bottom w:val="single" w:sz="4" w:space="0" w:color="0E57C5"/>
              <w:right w:val="single" w:sz="4" w:space="0" w:color="0E57C5"/>
            </w:tcBorders>
            <w:shd w:val="clear" w:color="000000" w:fill="FFC000"/>
            <w:vAlign w:val="center"/>
            <w:hideMark/>
          </w:tcPr>
          <w:p w14:paraId="7AC5BC19"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t>No. Indicadores a evaluar en el mes</w:t>
            </w:r>
          </w:p>
        </w:tc>
        <w:tc>
          <w:tcPr>
            <w:tcW w:w="1048" w:type="dxa"/>
            <w:tcBorders>
              <w:top w:val="single" w:sz="4" w:space="0" w:color="0E57C5"/>
              <w:left w:val="nil"/>
              <w:bottom w:val="single" w:sz="4" w:space="0" w:color="0E57C5"/>
              <w:right w:val="single" w:sz="4" w:space="0" w:color="0E57C5"/>
            </w:tcBorders>
            <w:shd w:val="clear" w:color="000000" w:fill="FFC000"/>
            <w:vAlign w:val="center"/>
            <w:hideMark/>
          </w:tcPr>
          <w:p w14:paraId="0ECDF9D4"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t>Promedio Mensual</w:t>
            </w:r>
          </w:p>
        </w:tc>
        <w:tc>
          <w:tcPr>
            <w:tcW w:w="791" w:type="dxa"/>
            <w:tcBorders>
              <w:top w:val="single" w:sz="4" w:space="0" w:color="0E57C5"/>
              <w:left w:val="nil"/>
              <w:bottom w:val="single" w:sz="4" w:space="0" w:color="0E57C5"/>
              <w:right w:val="single" w:sz="4" w:space="0" w:color="0E57C5"/>
            </w:tcBorders>
            <w:shd w:val="clear" w:color="000000" w:fill="FFC000"/>
            <w:vAlign w:val="center"/>
            <w:hideMark/>
          </w:tcPr>
          <w:p w14:paraId="0EF5FF7A"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t>Total mes</w:t>
            </w:r>
          </w:p>
        </w:tc>
        <w:tc>
          <w:tcPr>
            <w:tcW w:w="1179" w:type="dxa"/>
            <w:tcBorders>
              <w:top w:val="single" w:sz="4" w:space="0" w:color="0E57C5"/>
              <w:left w:val="nil"/>
              <w:bottom w:val="single" w:sz="4" w:space="0" w:color="0E57C5"/>
              <w:right w:val="single" w:sz="4" w:space="0" w:color="0E57C5"/>
            </w:tcBorders>
            <w:shd w:val="clear" w:color="000000" w:fill="FFC000"/>
            <w:vAlign w:val="center"/>
            <w:hideMark/>
          </w:tcPr>
          <w:p w14:paraId="0E56AD69"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t>Promedio acumulado anual</w:t>
            </w:r>
          </w:p>
        </w:tc>
        <w:tc>
          <w:tcPr>
            <w:tcW w:w="1179" w:type="dxa"/>
            <w:tcBorders>
              <w:top w:val="single" w:sz="4" w:space="0" w:color="0E57C5"/>
              <w:left w:val="nil"/>
              <w:bottom w:val="single" w:sz="4" w:space="0" w:color="0E57C5"/>
              <w:right w:val="single" w:sz="4" w:space="0" w:color="0E57C5"/>
            </w:tcBorders>
            <w:shd w:val="clear" w:color="000000" w:fill="FFC000"/>
            <w:vAlign w:val="center"/>
            <w:hideMark/>
          </w:tcPr>
          <w:p w14:paraId="2E475090" w14:textId="77777777" w:rsidR="00E90B2B" w:rsidRPr="00E90B2B" w:rsidRDefault="00E90B2B" w:rsidP="00E90B2B">
            <w:pPr>
              <w:spacing w:after="0" w:line="240" w:lineRule="auto"/>
              <w:jc w:val="center"/>
              <w:rPr>
                <w:rFonts w:ascii="Arial Narrow" w:eastAsia="Times New Roman" w:hAnsi="Arial Narrow" w:cs="Times New Roman"/>
                <w:b/>
                <w:sz w:val="24"/>
                <w:szCs w:val="24"/>
                <w:lang w:val="es-CO" w:eastAsia="es-CO"/>
              </w:rPr>
            </w:pPr>
            <w:r w:rsidRPr="00E90B2B">
              <w:rPr>
                <w:rFonts w:ascii="Arial Narrow" w:eastAsia="Times New Roman" w:hAnsi="Arial Narrow" w:cs="Times New Roman"/>
                <w:b/>
                <w:sz w:val="24"/>
                <w:szCs w:val="24"/>
                <w:lang w:val="es-CO" w:eastAsia="es-CO"/>
              </w:rPr>
              <w:t>Total acumulado anual</w:t>
            </w:r>
          </w:p>
        </w:tc>
      </w:tr>
      <w:tr w:rsidR="00E90B2B" w:rsidRPr="00E90B2B" w14:paraId="3540D98B" w14:textId="77777777" w:rsidTr="00E90B2B">
        <w:trPr>
          <w:trHeight w:val="912"/>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3F32CD20"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1. Contribuir eficazmente en la construcción de una ciudad ambientalmente sostenible, que se integre con la región y con la nación, en cumplimiento de lo establecido en el plan de desarrollo distrital vigente.</w:t>
            </w:r>
          </w:p>
        </w:tc>
        <w:tc>
          <w:tcPr>
            <w:tcW w:w="1245" w:type="dxa"/>
            <w:tcBorders>
              <w:top w:val="nil"/>
              <w:left w:val="nil"/>
              <w:bottom w:val="single" w:sz="4" w:space="0" w:color="0E57C5"/>
              <w:right w:val="single" w:sz="4" w:space="0" w:color="0E57C5"/>
            </w:tcBorders>
            <w:shd w:val="clear" w:color="000000" w:fill="FFFFFF"/>
            <w:vAlign w:val="center"/>
            <w:hideMark/>
          </w:tcPr>
          <w:p w14:paraId="1AF41434"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86</w:t>
            </w:r>
          </w:p>
        </w:tc>
        <w:tc>
          <w:tcPr>
            <w:tcW w:w="1245" w:type="dxa"/>
            <w:tcBorders>
              <w:top w:val="nil"/>
              <w:left w:val="nil"/>
              <w:bottom w:val="single" w:sz="4" w:space="0" w:color="0E57C5"/>
              <w:right w:val="single" w:sz="4" w:space="0" w:color="0E57C5"/>
            </w:tcBorders>
            <w:shd w:val="clear" w:color="000000" w:fill="FFFFFF"/>
            <w:vAlign w:val="center"/>
            <w:hideMark/>
          </w:tcPr>
          <w:p w14:paraId="20B7CA16"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12</w:t>
            </w:r>
          </w:p>
        </w:tc>
        <w:tc>
          <w:tcPr>
            <w:tcW w:w="1048" w:type="dxa"/>
            <w:tcBorders>
              <w:top w:val="nil"/>
              <w:left w:val="nil"/>
              <w:bottom w:val="single" w:sz="4" w:space="0" w:color="0E57C5"/>
              <w:right w:val="single" w:sz="4" w:space="0" w:color="0E57C5"/>
            </w:tcBorders>
            <w:shd w:val="clear" w:color="000000" w:fill="FFFFFF"/>
            <w:vAlign w:val="center"/>
            <w:hideMark/>
          </w:tcPr>
          <w:p w14:paraId="45D07480"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50,17</w:t>
            </w:r>
          </w:p>
        </w:tc>
        <w:tc>
          <w:tcPr>
            <w:tcW w:w="791" w:type="dxa"/>
            <w:vMerge w:val="restart"/>
            <w:tcBorders>
              <w:top w:val="nil"/>
              <w:left w:val="single" w:sz="4" w:space="0" w:color="0E57C5"/>
              <w:bottom w:val="single" w:sz="4" w:space="0" w:color="0E57C5"/>
              <w:right w:val="single" w:sz="4" w:space="0" w:color="0E57C5"/>
            </w:tcBorders>
            <w:shd w:val="clear" w:color="000000" w:fill="B6F600"/>
            <w:vAlign w:val="center"/>
            <w:hideMark/>
          </w:tcPr>
          <w:p w14:paraId="6912296A"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91,17</w:t>
            </w:r>
          </w:p>
        </w:tc>
        <w:tc>
          <w:tcPr>
            <w:tcW w:w="1179" w:type="dxa"/>
            <w:tcBorders>
              <w:top w:val="nil"/>
              <w:left w:val="nil"/>
              <w:bottom w:val="single" w:sz="4" w:space="0" w:color="0E57C5"/>
              <w:right w:val="single" w:sz="4" w:space="0" w:color="0E57C5"/>
            </w:tcBorders>
            <w:shd w:val="clear" w:color="000000" w:fill="FFFFFF"/>
            <w:vAlign w:val="center"/>
            <w:hideMark/>
          </w:tcPr>
          <w:p w14:paraId="78CBBC51"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80,75</w:t>
            </w:r>
          </w:p>
        </w:tc>
        <w:tc>
          <w:tcPr>
            <w:tcW w:w="1179" w:type="dxa"/>
            <w:vMerge w:val="restart"/>
            <w:tcBorders>
              <w:top w:val="nil"/>
              <w:left w:val="single" w:sz="4" w:space="0" w:color="0E57C5"/>
              <w:bottom w:val="single" w:sz="4" w:space="0" w:color="0E57C5"/>
              <w:right w:val="single" w:sz="4" w:space="0" w:color="0E57C5"/>
            </w:tcBorders>
            <w:shd w:val="clear" w:color="000000" w:fill="B6F600"/>
            <w:vAlign w:val="center"/>
            <w:hideMark/>
          </w:tcPr>
          <w:p w14:paraId="3B047672"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88,94</w:t>
            </w:r>
          </w:p>
        </w:tc>
      </w:tr>
      <w:tr w:rsidR="00E90B2B" w:rsidRPr="00E90B2B" w14:paraId="6F16E925" w14:textId="77777777" w:rsidTr="00E90B2B">
        <w:trPr>
          <w:trHeight w:val="1596"/>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13E67314"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2. Mantener la confidencialidad, integridad, disponibilidad de los activos de información, y la protección de datos personales, mediante la gestión de los riesgos; que permitan establecer un ámbito de confianza, a las partes interesadas, en concordancia con la misión y visión de la entidad.</w:t>
            </w:r>
          </w:p>
        </w:tc>
        <w:tc>
          <w:tcPr>
            <w:tcW w:w="1245" w:type="dxa"/>
            <w:tcBorders>
              <w:top w:val="nil"/>
              <w:left w:val="nil"/>
              <w:bottom w:val="single" w:sz="4" w:space="0" w:color="0E57C5"/>
              <w:right w:val="single" w:sz="4" w:space="0" w:color="0E57C5"/>
            </w:tcBorders>
            <w:shd w:val="clear" w:color="000000" w:fill="FFFFFF"/>
            <w:vAlign w:val="center"/>
            <w:hideMark/>
          </w:tcPr>
          <w:p w14:paraId="0AD987FB"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19</w:t>
            </w:r>
          </w:p>
        </w:tc>
        <w:tc>
          <w:tcPr>
            <w:tcW w:w="1245" w:type="dxa"/>
            <w:tcBorders>
              <w:top w:val="nil"/>
              <w:left w:val="nil"/>
              <w:bottom w:val="single" w:sz="4" w:space="0" w:color="0E57C5"/>
              <w:right w:val="single" w:sz="4" w:space="0" w:color="0E57C5"/>
            </w:tcBorders>
            <w:shd w:val="clear" w:color="000000" w:fill="FFFFFF"/>
            <w:vAlign w:val="center"/>
            <w:hideMark/>
          </w:tcPr>
          <w:p w14:paraId="5642671F"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4</w:t>
            </w:r>
          </w:p>
        </w:tc>
        <w:tc>
          <w:tcPr>
            <w:tcW w:w="1048" w:type="dxa"/>
            <w:tcBorders>
              <w:top w:val="nil"/>
              <w:left w:val="nil"/>
              <w:bottom w:val="single" w:sz="4" w:space="0" w:color="0E57C5"/>
              <w:right w:val="single" w:sz="4" w:space="0" w:color="0E57C5"/>
            </w:tcBorders>
            <w:shd w:val="clear" w:color="000000" w:fill="FFFFFF"/>
            <w:vAlign w:val="center"/>
            <w:hideMark/>
          </w:tcPr>
          <w:p w14:paraId="4C7B0047"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97</w:t>
            </w:r>
          </w:p>
        </w:tc>
        <w:tc>
          <w:tcPr>
            <w:tcW w:w="791" w:type="dxa"/>
            <w:vMerge/>
            <w:tcBorders>
              <w:top w:val="nil"/>
              <w:left w:val="single" w:sz="4" w:space="0" w:color="0E57C5"/>
              <w:bottom w:val="single" w:sz="4" w:space="0" w:color="0E57C5"/>
              <w:right w:val="single" w:sz="4" w:space="0" w:color="0E57C5"/>
            </w:tcBorders>
            <w:vAlign w:val="center"/>
            <w:hideMark/>
          </w:tcPr>
          <w:p w14:paraId="25C692D7"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c>
          <w:tcPr>
            <w:tcW w:w="1179" w:type="dxa"/>
            <w:tcBorders>
              <w:top w:val="nil"/>
              <w:left w:val="nil"/>
              <w:bottom w:val="single" w:sz="4" w:space="0" w:color="0E57C5"/>
              <w:right w:val="single" w:sz="4" w:space="0" w:color="0E57C5"/>
            </w:tcBorders>
            <w:shd w:val="clear" w:color="000000" w:fill="FFFFFF"/>
            <w:vAlign w:val="center"/>
            <w:hideMark/>
          </w:tcPr>
          <w:p w14:paraId="4DFBFCEC"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97,79</w:t>
            </w:r>
          </w:p>
        </w:tc>
        <w:tc>
          <w:tcPr>
            <w:tcW w:w="1179" w:type="dxa"/>
            <w:vMerge/>
            <w:tcBorders>
              <w:top w:val="nil"/>
              <w:left w:val="single" w:sz="4" w:space="0" w:color="0E57C5"/>
              <w:bottom w:val="single" w:sz="4" w:space="0" w:color="0E57C5"/>
              <w:right w:val="single" w:sz="4" w:space="0" w:color="0E57C5"/>
            </w:tcBorders>
            <w:vAlign w:val="center"/>
            <w:hideMark/>
          </w:tcPr>
          <w:p w14:paraId="5722DA20"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r>
      <w:tr w:rsidR="00E90B2B" w:rsidRPr="00E90B2B" w14:paraId="4E6106DC" w14:textId="77777777" w:rsidTr="00E90B2B">
        <w:trPr>
          <w:trHeight w:val="1337"/>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5CFB2361"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3. Administrar y conservar los documentos de la Secretaría Distrital de Ambiente, de acuerdo con lo establecido en la Tabla de Retención Documental TRD; fortaleciendo la preservación de la memoria institucional y la transparencia en el manejo de la información.</w:t>
            </w:r>
          </w:p>
        </w:tc>
        <w:tc>
          <w:tcPr>
            <w:tcW w:w="1245" w:type="dxa"/>
            <w:tcBorders>
              <w:top w:val="nil"/>
              <w:left w:val="nil"/>
              <w:bottom w:val="single" w:sz="4" w:space="0" w:color="0E57C5"/>
              <w:right w:val="single" w:sz="4" w:space="0" w:color="0E57C5"/>
            </w:tcBorders>
            <w:shd w:val="clear" w:color="000000" w:fill="FFFFFF"/>
            <w:vAlign w:val="center"/>
            <w:hideMark/>
          </w:tcPr>
          <w:p w14:paraId="298932A8"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3</w:t>
            </w:r>
          </w:p>
        </w:tc>
        <w:tc>
          <w:tcPr>
            <w:tcW w:w="1245" w:type="dxa"/>
            <w:tcBorders>
              <w:top w:val="nil"/>
              <w:left w:val="nil"/>
              <w:bottom w:val="single" w:sz="4" w:space="0" w:color="0E57C5"/>
              <w:right w:val="single" w:sz="4" w:space="0" w:color="0E57C5"/>
            </w:tcBorders>
            <w:shd w:val="clear" w:color="000000" w:fill="FFFFFF"/>
            <w:vAlign w:val="center"/>
            <w:hideMark/>
          </w:tcPr>
          <w:p w14:paraId="0F691886"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0</w:t>
            </w:r>
          </w:p>
        </w:tc>
        <w:tc>
          <w:tcPr>
            <w:tcW w:w="1048" w:type="dxa"/>
            <w:tcBorders>
              <w:top w:val="nil"/>
              <w:left w:val="nil"/>
              <w:bottom w:val="single" w:sz="4" w:space="0" w:color="0E57C5"/>
              <w:right w:val="single" w:sz="4" w:space="0" w:color="0E57C5"/>
            </w:tcBorders>
            <w:shd w:val="clear" w:color="000000" w:fill="FFFFFF"/>
            <w:vAlign w:val="center"/>
            <w:hideMark/>
          </w:tcPr>
          <w:p w14:paraId="4DDE76B7"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N.A.</w:t>
            </w:r>
          </w:p>
        </w:tc>
        <w:tc>
          <w:tcPr>
            <w:tcW w:w="791" w:type="dxa"/>
            <w:vMerge/>
            <w:tcBorders>
              <w:top w:val="nil"/>
              <w:left w:val="single" w:sz="4" w:space="0" w:color="0E57C5"/>
              <w:bottom w:val="single" w:sz="4" w:space="0" w:color="0E57C5"/>
              <w:right w:val="single" w:sz="4" w:space="0" w:color="0E57C5"/>
            </w:tcBorders>
            <w:vAlign w:val="center"/>
            <w:hideMark/>
          </w:tcPr>
          <w:p w14:paraId="6A7D207F"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c>
          <w:tcPr>
            <w:tcW w:w="1179" w:type="dxa"/>
            <w:tcBorders>
              <w:top w:val="nil"/>
              <w:left w:val="nil"/>
              <w:bottom w:val="single" w:sz="4" w:space="0" w:color="0E57C5"/>
              <w:right w:val="single" w:sz="4" w:space="0" w:color="0E57C5"/>
            </w:tcBorders>
            <w:shd w:val="clear" w:color="000000" w:fill="FFFFFF"/>
            <w:vAlign w:val="center"/>
            <w:hideMark/>
          </w:tcPr>
          <w:p w14:paraId="5D54960E"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N.A</w:t>
            </w:r>
          </w:p>
        </w:tc>
        <w:tc>
          <w:tcPr>
            <w:tcW w:w="1179" w:type="dxa"/>
            <w:vMerge/>
            <w:tcBorders>
              <w:top w:val="nil"/>
              <w:left w:val="single" w:sz="4" w:space="0" w:color="0E57C5"/>
              <w:bottom w:val="single" w:sz="4" w:space="0" w:color="0E57C5"/>
              <w:right w:val="single" w:sz="4" w:space="0" w:color="0E57C5"/>
            </w:tcBorders>
            <w:vAlign w:val="center"/>
            <w:hideMark/>
          </w:tcPr>
          <w:p w14:paraId="110D82D6"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r>
      <w:tr w:rsidR="00E90B2B" w:rsidRPr="00E90B2B" w14:paraId="1A318081" w14:textId="77777777" w:rsidTr="00E90B2B">
        <w:trPr>
          <w:trHeight w:val="957"/>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7B510BD2"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4. Prevenir o mitigar los riesgos y peligros identificados en la Secretaría Distrital de Ambiente, que afecten o puedan afectar la salud y seguridad de su personal, sus clientes y visitantes.</w:t>
            </w:r>
          </w:p>
        </w:tc>
        <w:tc>
          <w:tcPr>
            <w:tcW w:w="1245" w:type="dxa"/>
            <w:tcBorders>
              <w:top w:val="nil"/>
              <w:left w:val="nil"/>
              <w:bottom w:val="single" w:sz="4" w:space="0" w:color="0E57C5"/>
              <w:right w:val="single" w:sz="4" w:space="0" w:color="0E57C5"/>
            </w:tcBorders>
            <w:shd w:val="clear" w:color="000000" w:fill="FFFFFF"/>
            <w:vAlign w:val="center"/>
            <w:hideMark/>
          </w:tcPr>
          <w:p w14:paraId="6F3F78B0"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6</w:t>
            </w:r>
          </w:p>
        </w:tc>
        <w:tc>
          <w:tcPr>
            <w:tcW w:w="1245" w:type="dxa"/>
            <w:tcBorders>
              <w:top w:val="nil"/>
              <w:left w:val="nil"/>
              <w:bottom w:val="single" w:sz="4" w:space="0" w:color="0E57C5"/>
              <w:right w:val="single" w:sz="4" w:space="0" w:color="0E57C5"/>
            </w:tcBorders>
            <w:shd w:val="clear" w:color="000000" w:fill="FFFFFF"/>
            <w:vAlign w:val="center"/>
            <w:hideMark/>
          </w:tcPr>
          <w:p w14:paraId="7105EC73"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2</w:t>
            </w:r>
          </w:p>
        </w:tc>
        <w:tc>
          <w:tcPr>
            <w:tcW w:w="1048" w:type="dxa"/>
            <w:tcBorders>
              <w:top w:val="nil"/>
              <w:left w:val="nil"/>
              <w:bottom w:val="single" w:sz="4" w:space="0" w:color="0E57C5"/>
              <w:right w:val="single" w:sz="4" w:space="0" w:color="0E57C5"/>
            </w:tcBorders>
            <w:shd w:val="clear" w:color="000000" w:fill="FFFFFF"/>
            <w:vAlign w:val="center"/>
            <w:hideMark/>
          </w:tcPr>
          <w:p w14:paraId="0B4CE301"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100</w:t>
            </w:r>
          </w:p>
        </w:tc>
        <w:tc>
          <w:tcPr>
            <w:tcW w:w="791" w:type="dxa"/>
            <w:vMerge/>
            <w:tcBorders>
              <w:top w:val="nil"/>
              <w:left w:val="single" w:sz="4" w:space="0" w:color="0E57C5"/>
              <w:bottom w:val="single" w:sz="4" w:space="0" w:color="0E57C5"/>
              <w:right w:val="single" w:sz="4" w:space="0" w:color="0E57C5"/>
            </w:tcBorders>
            <w:vAlign w:val="center"/>
            <w:hideMark/>
          </w:tcPr>
          <w:p w14:paraId="1FAD4E25"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c>
          <w:tcPr>
            <w:tcW w:w="1179" w:type="dxa"/>
            <w:tcBorders>
              <w:top w:val="nil"/>
              <w:left w:val="nil"/>
              <w:bottom w:val="single" w:sz="4" w:space="0" w:color="0E57C5"/>
              <w:right w:val="single" w:sz="4" w:space="0" w:color="0E57C5"/>
            </w:tcBorders>
            <w:shd w:val="clear" w:color="000000" w:fill="FFFFFF"/>
            <w:vAlign w:val="center"/>
            <w:hideMark/>
          </w:tcPr>
          <w:p w14:paraId="569B9E6F"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100,00</w:t>
            </w:r>
          </w:p>
        </w:tc>
        <w:tc>
          <w:tcPr>
            <w:tcW w:w="1179" w:type="dxa"/>
            <w:vMerge/>
            <w:tcBorders>
              <w:top w:val="nil"/>
              <w:left w:val="single" w:sz="4" w:space="0" w:color="0E57C5"/>
              <w:bottom w:val="single" w:sz="4" w:space="0" w:color="0E57C5"/>
              <w:right w:val="single" w:sz="4" w:space="0" w:color="0E57C5"/>
            </w:tcBorders>
            <w:vAlign w:val="center"/>
            <w:hideMark/>
          </w:tcPr>
          <w:p w14:paraId="2B19DC9F"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r>
      <w:tr w:rsidR="00E90B2B" w:rsidRPr="00E90B2B" w14:paraId="7C9C1DD1" w14:textId="77777777" w:rsidTr="00E90B2B">
        <w:trPr>
          <w:trHeight w:val="957"/>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781B85F0"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5. Promover la vinculación de la comunidad a los procesos, ambientalmente sostenibles, liderados por la Secretaría Distrital de Ambiente.</w:t>
            </w:r>
          </w:p>
        </w:tc>
        <w:tc>
          <w:tcPr>
            <w:tcW w:w="1245" w:type="dxa"/>
            <w:tcBorders>
              <w:top w:val="nil"/>
              <w:left w:val="nil"/>
              <w:bottom w:val="single" w:sz="4" w:space="0" w:color="0E57C5"/>
              <w:right w:val="single" w:sz="4" w:space="0" w:color="0E57C5"/>
            </w:tcBorders>
            <w:shd w:val="clear" w:color="000000" w:fill="FFFFFF"/>
            <w:vAlign w:val="center"/>
            <w:hideMark/>
          </w:tcPr>
          <w:p w14:paraId="52EE476A"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3</w:t>
            </w:r>
          </w:p>
        </w:tc>
        <w:tc>
          <w:tcPr>
            <w:tcW w:w="1245" w:type="dxa"/>
            <w:tcBorders>
              <w:top w:val="nil"/>
              <w:left w:val="nil"/>
              <w:bottom w:val="single" w:sz="4" w:space="0" w:color="0E57C5"/>
              <w:right w:val="single" w:sz="4" w:space="0" w:color="0E57C5"/>
            </w:tcBorders>
            <w:shd w:val="clear" w:color="000000" w:fill="FFFFFF"/>
            <w:vAlign w:val="center"/>
            <w:hideMark/>
          </w:tcPr>
          <w:p w14:paraId="1A3697D5"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2</w:t>
            </w:r>
          </w:p>
        </w:tc>
        <w:tc>
          <w:tcPr>
            <w:tcW w:w="1048" w:type="dxa"/>
            <w:tcBorders>
              <w:top w:val="nil"/>
              <w:left w:val="nil"/>
              <w:bottom w:val="single" w:sz="4" w:space="0" w:color="0E57C5"/>
              <w:right w:val="single" w:sz="4" w:space="0" w:color="0E57C5"/>
            </w:tcBorders>
            <w:shd w:val="clear" w:color="000000" w:fill="FFFFFF"/>
            <w:vAlign w:val="center"/>
            <w:hideMark/>
          </w:tcPr>
          <w:p w14:paraId="3B6B968E"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100</w:t>
            </w:r>
          </w:p>
        </w:tc>
        <w:tc>
          <w:tcPr>
            <w:tcW w:w="791" w:type="dxa"/>
            <w:vMerge/>
            <w:tcBorders>
              <w:top w:val="nil"/>
              <w:left w:val="single" w:sz="4" w:space="0" w:color="0E57C5"/>
              <w:bottom w:val="single" w:sz="4" w:space="0" w:color="0E57C5"/>
              <w:right w:val="single" w:sz="4" w:space="0" w:color="0E57C5"/>
            </w:tcBorders>
            <w:vAlign w:val="center"/>
            <w:hideMark/>
          </w:tcPr>
          <w:p w14:paraId="297B86B3"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c>
          <w:tcPr>
            <w:tcW w:w="1179" w:type="dxa"/>
            <w:tcBorders>
              <w:top w:val="nil"/>
              <w:left w:val="nil"/>
              <w:bottom w:val="single" w:sz="4" w:space="0" w:color="0E57C5"/>
              <w:right w:val="single" w:sz="4" w:space="0" w:color="0E57C5"/>
            </w:tcBorders>
            <w:shd w:val="clear" w:color="000000" w:fill="FFFFFF"/>
            <w:vAlign w:val="center"/>
            <w:hideMark/>
          </w:tcPr>
          <w:p w14:paraId="02EB54F3"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89,68</w:t>
            </w:r>
          </w:p>
        </w:tc>
        <w:tc>
          <w:tcPr>
            <w:tcW w:w="1179" w:type="dxa"/>
            <w:vMerge/>
            <w:tcBorders>
              <w:top w:val="nil"/>
              <w:left w:val="single" w:sz="4" w:space="0" w:color="0E57C5"/>
              <w:bottom w:val="single" w:sz="4" w:space="0" w:color="0E57C5"/>
              <w:right w:val="single" w:sz="4" w:space="0" w:color="0E57C5"/>
            </w:tcBorders>
            <w:vAlign w:val="center"/>
            <w:hideMark/>
          </w:tcPr>
          <w:p w14:paraId="1926B28A"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r>
      <w:tr w:rsidR="00E90B2B" w:rsidRPr="00E90B2B" w14:paraId="0A7C8201" w14:textId="77777777" w:rsidTr="00E90B2B">
        <w:trPr>
          <w:trHeight w:val="957"/>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0C30C8ED"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6. Promover el autocontrol y la mejora continua de la Secretaría Distrital de Ambiente, a través de la verificación y seguimiento de las actividades desarrolladas.</w:t>
            </w:r>
          </w:p>
        </w:tc>
        <w:tc>
          <w:tcPr>
            <w:tcW w:w="1245" w:type="dxa"/>
            <w:tcBorders>
              <w:top w:val="nil"/>
              <w:left w:val="nil"/>
              <w:bottom w:val="single" w:sz="4" w:space="0" w:color="0E57C5"/>
              <w:right w:val="single" w:sz="4" w:space="0" w:color="0E57C5"/>
            </w:tcBorders>
            <w:shd w:val="clear" w:color="000000" w:fill="FFFFFF"/>
            <w:vAlign w:val="center"/>
            <w:hideMark/>
          </w:tcPr>
          <w:p w14:paraId="4698D216"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18</w:t>
            </w:r>
          </w:p>
        </w:tc>
        <w:tc>
          <w:tcPr>
            <w:tcW w:w="1245" w:type="dxa"/>
            <w:tcBorders>
              <w:top w:val="nil"/>
              <w:left w:val="nil"/>
              <w:bottom w:val="single" w:sz="4" w:space="0" w:color="0E57C5"/>
              <w:right w:val="single" w:sz="4" w:space="0" w:color="0E57C5"/>
            </w:tcBorders>
            <w:shd w:val="clear" w:color="000000" w:fill="FFFFFF"/>
            <w:vAlign w:val="center"/>
            <w:hideMark/>
          </w:tcPr>
          <w:p w14:paraId="6FC0735A"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4</w:t>
            </w:r>
          </w:p>
        </w:tc>
        <w:tc>
          <w:tcPr>
            <w:tcW w:w="1048" w:type="dxa"/>
            <w:tcBorders>
              <w:top w:val="nil"/>
              <w:left w:val="nil"/>
              <w:bottom w:val="single" w:sz="4" w:space="0" w:color="0E57C5"/>
              <w:right w:val="single" w:sz="4" w:space="0" w:color="0E57C5"/>
            </w:tcBorders>
            <w:shd w:val="clear" w:color="000000" w:fill="FFFFFF"/>
            <w:vAlign w:val="center"/>
            <w:hideMark/>
          </w:tcPr>
          <w:p w14:paraId="451629F9"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110</w:t>
            </w:r>
          </w:p>
        </w:tc>
        <w:tc>
          <w:tcPr>
            <w:tcW w:w="791" w:type="dxa"/>
            <w:vMerge/>
            <w:tcBorders>
              <w:top w:val="nil"/>
              <w:left w:val="single" w:sz="4" w:space="0" w:color="0E57C5"/>
              <w:bottom w:val="single" w:sz="4" w:space="0" w:color="0E57C5"/>
              <w:right w:val="single" w:sz="4" w:space="0" w:color="0E57C5"/>
            </w:tcBorders>
            <w:vAlign w:val="center"/>
            <w:hideMark/>
          </w:tcPr>
          <w:p w14:paraId="7E550D0B"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c>
          <w:tcPr>
            <w:tcW w:w="1179" w:type="dxa"/>
            <w:tcBorders>
              <w:top w:val="nil"/>
              <w:left w:val="nil"/>
              <w:bottom w:val="single" w:sz="4" w:space="0" w:color="0E57C5"/>
              <w:right w:val="single" w:sz="4" w:space="0" w:color="0E57C5"/>
            </w:tcBorders>
            <w:shd w:val="clear" w:color="000000" w:fill="FFFFFF"/>
            <w:vAlign w:val="center"/>
            <w:hideMark/>
          </w:tcPr>
          <w:p w14:paraId="1FE26C2A"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76,50</w:t>
            </w:r>
          </w:p>
        </w:tc>
        <w:tc>
          <w:tcPr>
            <w:tcW w:w="1179" w:type="dxa"/>
            <w:vMerge/>
            <w:tcBorders>
              <w:top w:val="nil"/>
              <w:left w:val="single" w:sz="4" w:space="0" w:color="0E57C5"/>
              <w:bottom w:val="single" w:sz="4" w:space="0" w:color="0E57C5"/>
              <w:right w:val="single" w:sz="4" w:space="0" w:color="0E57C5"/>
            </w:tcBorders>
            <w:vAlign w:val="center"/>
            <w:hideMark/>
          </w:tcPr>
          <w:p w14:paraId="4C5C42D3"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r>
      <w:tr w:rsidR="00E90B2B" w:rsidRPr="00E90B2B" w14:paraId="2D0290F8" w14:textId="77777777" w:rsidTr="00E90B2B">
        <w:trPr>
          <w:trHeight w:val="957"/>
        </w:trPr>
        <w:tc>
          <w:tcPr>
            <w:tcW w:w="4488" w:type="dxa"/>
            <w:tcBorders>
              <w:top w:val="nil"/>
              <w:left w:val="single" w:sz="4" w:space="0" w:color="0E57C5"/>
              <w:bottom w:val="single" w:sz="4" w:space="0" w:color="0E57C5"/>
              <w:right w:val="single" w:sz="4" w:space="0" w:color="0E57C5"/>
            </w:tcBorders>
            <w:shd w:val="clear" w:color="auto" w:fill="auto"/>
            <w:vAlign w:val="center"/>
            <w:hideMark/>
          </w:tcPr>
          <w:p w14:paraId="659422AC" w14:textId="77777777" w:rsidR="00E90B2B" w:rsidRPr="00E90B2B" w:rsidRDefault="00E90B2B" w:rsidP="00E90B2B">
            <w:pPr>
              <w:spacing w:after="0" w:line="240" w:lineRule="auto"/>
              <w:ind w:firstLineChars="100" w:firstLine="240"/>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7. Mitigar o prevenir los aspectos e impactos ambientales negativos, identificados en la Secretaría Distrital de Ambiente y que se producen en el desarrollo de sus actividades.</w:t>
            </w:r>
          </w:p>
        </w:tc>
        <w:tc>
          <w:tcPr>
            <w:tcW w:w="1245" w:type="dxa"/>
            <w:tcBorders>
              <w:top w:val="nil"/>
              <w:left w:val="nil"/>
              <w:bottom w:val="single" w:sz="4" w:space="0" w:color="0E57C5"/>
              <w:right w:val="single" w:sz="4" w:space="0" w:color="0E57C5"/>
            </w:tcBorders>
            <w:shd w:val="clear" w:color="000000" w:fill="FFFFFF"/>
            <w:vAlign w:val="center"/>
            <w:hideMark/>
          </w:tcPr>
          <w:p w14:paraId="7F03172B"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0</w:t>
            </w:r>
          </w:p>
        </w:tc>
        <w:tc>
          <w:tcPr>
            <w:tcW w:w="1245" w:type="dxa"/>
            <w:tcBorders>
              <w:top w:val="nil"/>
              <w:left w:val="nil"/>
              <w:bottom w:val="single" w:sz="4" w:space="0" w:color="0E57C5"/>
              <w:right w:val="single" w:sz="4" w:space="0" w:color="0E57C5"/>
            </w:tcBorders>
            <w:shd w:val="clear" w:color="000000" w:fill="FFFFFF"/>
            <w:vAlign w:val="center"/>
            <w:hideMark/>
          </w:tcPr>
          <w:p w14:paraId="349CC209" w14:textId="77777777" w:rsidR="00E90B2B" w:rsidRPr="00E90B2B" w:rsidRDefault="00E90B2B" w:rsidP="00E90B2B">
            <w:pPr>
              <w:spacing w:after="0" w:line="240" w:lineRule="auto"/>
              <w:jc w:val="center"/>
              <w:rPr>
                <w:rFonts w:ascii="Arial Narrow" w:eastAsia="Times New Roman" w:hAnsi="Arial Narrow" w:cs="Times New Roman"/>
                <w:color w:val="000000"/>
                <w:sz w:val="24"/>
                <w:szCs w:val="24"/>
                <w:lang w:val="es-CO" w:eastAsia="es-CO"/>
              </w:rPr>
            </w:pPr>
            <w:r w:rsidRPr="00E90B2B">
              <w:rPr>
                <w:rFonts w:ascii="Arial Narrow" w:eastAsia="Times New Roman" w:hAnsi="Arial Narrow" w:cs="Times New Roman"/>
                <w:color w:val="000000"/>
                <w:sz w:val="24"/>
                <w:szCs w:val="24"/>
                <w:lang w:val="es-CO" w:eastAsia="es-CO"/>
              </w:rPr>
              <w:t>0</w:t>
            </w:r>
          </w:p>
        </w:tc>
        <w:tc>
          <w:tcPr>
            <w:tcW w:w="1048" w:type="dxa"/>
            <w:tcBorders>
              <w:top w:val="nil"/>
              <w:left w:val="nil"/>
              <w:bottom w:val="single" w:sz="4" w:space="0" w:color="0E57C5"/>
              <w:right w:val="single" w:sz="4" w:space="0" w:color="0E57C5"/>
            </w:tcBorders>
            <w:shd w:val="clear" w:color="000000" w:fill="FFFFFF"/>
            <w:vAlign w:val="center"/>
            <w:hideMark/>
          </w:tcPr>
          <w:p w14:paraId="7CCC9F05"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N.A.</w:t>
            </w:r>
          </w:p>
        </w:tc>
        <w:tc>
          <w:tcPr>
            <w:tcW w:w="791" w:type="dxa"/>
            <w:vMerge/>
            <w:tcBorders>
              <w:top w:val="nil"/>
              <w:left w:val="single" w:sz="4" w:space="0" w:color="0E57C5"/>
              <w:bottom w:val="single" w:sz="4" w:space="0" w:color="0E57C5"/>
              <w:right w:val="single" w:sz="4" w:space="0" w:color="0E57C5"/>
            </w:tcBorders>
            <w:vAlign w:val="center"/>
            <w:hideMark/>
          </w:tcPr>
          <w:p w14:paraId="50FD7528"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c>
          <w:tcPr>
            <w:tcW w:w="1179" w:type="dxa"/>
            <w:tcBorders>
              <w:top w:val="nil"/>
              <w:left w:val="nil"/>
              <w:bottom w:val="single" w:sz="4" w:space="0" w:color="0E57C5"/>
              <w:right w:val="single" w:sz="4" w:space="0" w:color="0E57C5"/>
            </w:tcBorders>
            <w:shd w:val="clear" w:color="000000" w:fill="FFFFFF"/>
            <w:vAlign w:val="center"/>
            <w:hideMark/>
          </w:tcPr>
          <w:p w14:paraId="26846091" w14:textId="77777777" w:rsidR="00E90B2B" w:rsidRPr="00E90B2B" w:rsidRDefault="00E90B2B" w:rsidP="00E90B2B">
            <w:pPr>
              <w:spacing w:after="0" w:line="240" w:lineRule="auto"/>
              <w:jc w:val="center"/>
              <w:rPr>
                <w:rFonts w:ascii="Arial Narrow" w:eastAsia="Times New Roman" w:hAnsi="Arial Narrow" w:cs="Times New Roman"/>
                <w:b/>
                <w:bCs/>
                <w:color w:val="000000"/>
                <w:sz w:val="24"/>
                <w:szCs w:val="24"/>
                <w:lang w:val="es-CO" w:eastAsia="es-CO"/>
              </w:rPr>
            </w:pPr>
            <w:r w:rsidRPr="00E90B2B">
              <w:rPr>
                <w:rFonts w:ascii="Arial Narrow" w:eastAsia="Times New Roman" w:hAnsi="Arial Narrow" w:cs="Times New Roman"/>
                <w:b/>
                <w:bCs/>
                <w:color w:val="000000"/>
                <w:sz w:val="24"/>
                <w:szCs w:val="24"/>
                <w:lang w:val="es-CO" w:eastAsia="es-CO"/>
              </w:rPr>
              <w:t>N.A</w:t>
            </w:r>
          </w:p>
        </w:tc>
        <w:tc>
          <w:tcPr>
            <w:tcW w:w="1179" w:type="dxa"/>
            <w:vMerge/>
            <w:tcBorders>
              <w:top w:val="nil"/>
              <w:left w:val="single" w:sz="4" w:space="0" w:color="0E57C5"/>
              <w:bottom w:val="single" w:sz="4" w:space="0" w:color="0E57C5"/>
              <w:right w:val="single" w:sz="4" w:space="0" w:color="0E57C5"/>
            </w:tcBorders>
            <w:vAlign w:val="center"/>
            <w:hideMark/>
          </w:tcPr>
          <w:p w14:paraId="3F7956C5" w14:textId="77777777" w:rsidR="00E90B2B" w:rsidRPr="00E90B2B" w:rsidRDefault="00E90B2B" w:rsidP="00E90B2B">
            <w:pPr>
              <w:spacing w:after="0" w:line="240" w:lineRule="auto"/>
              <w:rPr>
                <w:rFonts w:ascii="Arial Narrow" w:eastAsia="Times New Roman" w:hAnsi="Arial Narrow" w:cs="Times New Roman"/>
                <w:b/>
                <w:bCs/>
                <w:color w:val="000000"/>
                <w:sz w:val="24"/>
                <w:szCs w:val="24"/>
                <w:lang w:val="es-CO" w:eastAsia="es-CO"/>
              </w:rPr>
            </w:pPr>
          </w:p>
        </w:tc>
      </w:tr>
    </w:tbl>
    <w:p w14:paraId="0D71BE33" w14:textId="77777777" w:rsidR="00E90B2B" w:rsidRDefault="00E90B2B" w:rsidP="00BB1EA5">
      <w:pPr>
        <w:rPr>
          <w:rFonts w:ascii="Arial" w:hAnsi="Arial" w:cs="Arial"/>
          <w:sz w:val="20"/>
          <w:szCs w:val="20"/>
        </w:rPr>
      </w:pPr>
    </w:p>
    <w:p w14:paraId="378AA8AC" w14:textId="77777777" w:rsidR="00E90B2B" w:rsidRDefault="00E90B2B" w:rsidP="00BB1EA5">
      <w:pPr>
        <w:rPr>
          <w:rFonts w:ascii="Arial" w:hAnsi="Arial" w:cs="Arial"/>
          <w:sz w:val="20"/>
          <w:szCs w:val="20"/>
        </w:rPr>
      </w:pPr>
    </w:p>
    <w:p w14:paraId="5D75A3D4" w14:textId="77777777" w:rsidR="00E90B2B" w:rsidRPr="000C1EC5" w:rsidRDefault="00E90B2B" w:rsidP="00BB1EA5">
      <w:pPr>
        <w:rPr>
          <w:rFonts w:ascii="Arial" w:hAnsi="Arial" w:cs="Arial"/>
          <w:sz w:val="20"/>
          <w:szCs w:val="20"/>
        </w:rPr>
      </w:pPr>
    </w:p>
    <w:p w14:paraId="52E10A0B" w14:textId="074CEF75" w:rsidR="00BB1EA5" w:rsidRPr="000C1EC5" w:rsidRDefault="00644B57" w:rsidP="002E49F0">
      <w:pPr>
        <w:jc w:val="both"/>
        <w:rPr>
          <w:rFonts w:ascii="Arial" w:hAnsi="Arial" w:cs="Arial"/>
          <w:sz w:val="20"/>
          <w:szCs w:val="20"/>
        </w:rPr>
      </w:pPr>
      <w:r>
        <w:rPr>
          <w:rFonts w:ascii="Arial" w:hAnsi="Arial" w:cs="Arial"/>
          <w:sz w:val="20"/>
          <w:szCs w:val="20"/>
        </w:rPr>
        <w:lastRenderedPageBreak/>
        <w:t>1.</w:t>
      </w:r>
      <w:r w:rsidRPr="000C1EC5">
        <w:rPr>
          <w:rFonts w:ascii="Arial" w:hAnsi="Arial" w:cs="Arial"/>
          <w:b/>
          <w:sz w:val="20"/>
          <w:szCs w:val="20"/>
        </w:rPr>
        <w:t xml:space="preserve"> Contribuir</w:t>
      </w:r>
      <w:r w:rsidR="00BB1EA5" w:rsidRPr="000C1EC5">
        <w:rPr>
          <w:rFonts w:ascii="Arial" w:hAnsi="Arial" w:cs="Arial"/>
          <w:b/>
          <w:sz w:val="20"/>
          <w:szCs w:val="20"/>
        </w:rPr>
        <w:t xml:space="preserve"> eficazmente en la construcción de una ciudad ambientalmente sostenible, que se integre con la región y con la nación, en cumplimiento de lo establecido en el plan de desarrollo distrital vigente</w:t>
      </w:r>
      <w:r w:rsidR="00BB1EA5" w:rsidRPr="000C1EC5">
        <w:rPr>
          <w:rFonts w:ascii="Arial" w:hAnsi="Arial" w:cs="Arial"/>
          <w:sz w:val="20"/>
          <w:szCs w:val="20"/>
        </w:rPr>
        <w:t xml:space="preserve">. Hacen parte de este objetivo de calidad ochenta y seis (86) indicadores; evaluados según su periodicidad y programación de reporte. Para el </w:t>
      </w:r>
      <w:r>
        <w:rPr>
          <w:rFonts w:ascii="Arial" w:hAnsi="Arial" w:cs="Arial"/>
          <w:sz w:val="20"/>
          <w:szCs w:val="20"/>
        </w:rPr>
        <w:t xml:space="preserve">mes de </w:t>
      </w:r>
      <w:r w:rsidR="00E90B2B">
        <w:rPr>
          <w:rFonts w:ascii="Arial" w:hAnsi="Arial" w:cs="Arial"/>
          <w:sz w:val="20"/>
          <w:szCs w:val="20"/>
        </w:rPr>
        <w:t>abril</w:t>
      </w:r>
      <w:r w:rsidR="00BB1EA5" w:rsidRPr="000C1EC5">
        <w:rPr>
          <w:rFonts w:ascii="Arial" w:hAnsi="Arial" w:cs="Arial"/>
          <w:sz w:val="20"/>
          <w:szCs w:val="20"/>
        </w:rPr>
        <w:t xml:space="preserve"> reportan </w:t>
      </w:r>
      <w:r w:rsidR="00E90B2B">
        <w:rPr>
          <w:rFonts w:ascii="Arial" w:hAnsi="Arial" w:cs="Arial"/>
          <w:sz w:val="20"/>
          <w:szCs w:val="20"/>
        </w:rPr>
        <w:t>doce</w:t>
      </w:r>
      <w:r w:rsidR="00BB1EA5" w:rsidRPr="000C1EC5">
        <w:rPr>
          <w:rFonts w:ascii="Arial" w:hAnsi="Arial" w:cs="Arial"/>
          <w:sz w:val="20"/>
          <w:szCs w:val="20"/>
        </w:rPr>
        <w:t xml:space="preserve"> (</w:t>
      </w:r>
      <w:r w:rsidR="00E90B2B">
        <w:rPr>
          <w:rFonts w:ascii="Arial" w:hAnsi="Arial" w:cs="Arial"/>
          <w:sz w:val="20"/>
          <w:szCs w:val="20"/>
        </w:rPr>
        <w:t>12</w:t>
      </w:r>
      <w:r w:rsidR="00BB1EA5" w:rsidRPr="000C1EC5">
        <w:rPr>
          <w:rFonts w:ascii="Arial" w:hAnsi="Arial" w:cs="Arial"/>
          <w:sz w:val="20"/>
          <w:szCs w:val="20"/>
        </w:rPr>
        <w:t xml:space="preserve">) indicadores una ejecución del </w:t>
      </w:r>
      <w:r w:rsidR="00E90B2B">
        <w:rPr>
          <w:rFonts w:ascii="Arial" w:hAnsi="Arial" w:cs="Arial"/>
          <w:sz w:val="20"/>
          <w:szCs w:val="20"/>
        </w:rPr>
        <w:t>50.17</w:t>
      </w:r>
      <w:r w:rsidR="00BB1EA5" w:rsidRPr="000C1EC5">
        <w:rPr>
          <w:rFonts w:ascii="Arial" w:hAnsi="Arial" w:cs="Arial"/>
          <w:sz w:val="20"/>
          <w:szCs w:val="20"/>
        </w:rPr>
        <w:t xml:space="preserve">% en el mes y el </w:t>
      </w:r>
      <w:r w:rsidR="00E90B2B">
        <w:rPr>
          <w:rFonts w:ascii="Arial" w:hAnsi="Arial" w:cs="Arial"/>
          <w:sz w:val="20"/>
          <w:szCs w:val="20"/>
        </w:rPr>
        <w:t>80.75</w:t>
      </w:r>
      <w:r w:rsidR="00BB1EA5" w:rsidRPr="000C1EC5">
        <w:rPr>
          <w:rFonts w:ascii="Arial" w:hAnsi="Arial" w:cs="Arial"/>
          <w:sz w:val="20"/>
          <w:szCs w:val="20"/>
        </w:rPr>
        <w:t>% en la vigencia ubicándolo en un nivel sobresaliente.</w:t>
      </w:r>
    </w:p>
    <w:p w14:paraId="1E4B3CD0" w14:textId="77777777" w:rsidR="00BB1EA5" w:rsidRPr="000C1EC5" w:rsidRDefault="00BB1EA5" w:rsidP="002E49F0">
      <w:pPr>
        <w:jc w:val="both"/>
        <w:rPr>
          <w:rFonts w:ascii="Arial" w:hAnsi="Arial" w:cs="Arial"/>
          <w:sz w:val="20"/>
          <w:szCs w:val="20"/>
        </w:rPr>
      </w:pPr>
    </w:p>
    <w:p w14:paraId="4768B1DB" w14:textId="0BEF6D31" w:rsidR="00BB1EA5" w:rsidRPr="000C1EC5" w:rsidRDefault="00644B57" w:rsidP="002E49F0">
      <w:pPr>
        <w:jc w:val="both"/>
        <w:rPr>
          <w:rFonts w:ascii="Arial" w:hAnsi="Arial" w:cs="Arial"/>
          <w:sz w:val="20"/>
          <w:szCs w:val="20"/>
        </w:rPr>
      </w:pPr>
      <w:r>
        <w:rPr>
          <w:rFonts w:ascii="Arial" w:hAnsi="Arial" w:cs="Arial"/>
          <w:sz w:val="20"/>
          <w:szCs w:val="20"/>
        </w:rPr>
        <w:t>2.</w:t>
      </w:r>
      <w:r w:rsidRPr="000C1EC5">
        <w:rPr>
          <w:rFonts w:ascii="Arial" w:hAnsi="Arial" w:cs="Arial"/>
          <w:b/>
          <w:sz w:val="20"/>
          <w:szCs w:val="20"/>
        </w:rPr>
        <w:t xml:space="preserve"> Mantener</w:t>
      </w:r>
      <w:r w:rsidR="00BB1EA5" w:rsidRPr="000C1EC5">
        <w:rPr>
          <w:rFonts w:ascii="Arial" w:hAnsi="Arial" w:cs="Arial"/>
          <w:b/>
          <w:sz w:val="20"/>
          <w:szCs w:val="20"/>
        </w:rPr>
        <w:t xml:space="preserve"> la confidencialidad, integridad, disponibilidad de los activos de información, y la protección de datos personales, mediante la gestión de los riesgos; que permitan establecer un ámbito de confianza, a las partes interesadas, en concordancia con la misión y visión de la entidad.</w:t>
      </w:r>
      <w:r w:rsidR="00BB1EA5" w:rsidRPr="000C1EC5">
        <w:rPr>
          <w:rFonts w:ascii="Arial" w:hAnsi="Arial" w:cs="Arial"/>
          <w:sz w:val="20"/>
          <w:szCs w:val="20"/>
        </w:rPr>
        <w:t xml:space="preserve"> Este objetivo de calidad lo integran diecinueve (19) indicadores de los cuales se evalúan en el periodo </w:t>
      </w:r>
      <w:r w:rsidR="00E90B2B">
        <w:rPr>
          <w:rFonts w:ascii="Arial" w:hAnsi="Arial" w:cs="Arial"/>
          <w:sz w:val="20"/>
          <w:szCs w:val="20"/>
        </w:rPr>
        <w:t>cuatro (4</w:t>
      </w:r>
      <w:r w:rsidR="002E49F0">
        <w:rPr>
          <w:rFonts w:ascii="Arial" w:hAnsi="Arial" w:cs="Arial"/>
          <w:sz w:val="20"/>
          <w:szCs w:val="20"/>
        </w:rPr>
        <w:t xml:space="preserve">) con una ejecución del </w:t>
      </w:r>
      <w:r w:rsidR="00E90B2B">
        <w:rPr>
          <w:rFonts w:ascii="Arial" w:hAnsi="Arial" w:cs="Arial"/>
          <w:sz w:val="20"/>
          <w:szCs w:val="20"/>
        </w:rPr>
        <w:t>97</w:t>
      </w:r>
      <w:r w:rsidR="00BB1EA5" w:rsidRPr="000C1EC5">
        <w:rPr>
          <w:rFonts w:ascii="Arial" w:hAnsi="Arial" w:cs="Arial"/>
          <w:sz w:val="20"/>
          <w:szCs w:val="20"/>
        </w:rPr>
        <w:t xml:space="preserve">% en el mes y el </w:t>
      </w:r>
      <w:r w:rsidR="00E90B2B">
        <w:rPr>
          <w:rFonts w:ascii="Arial" w:hAnsi="Arial" w:cs="Arial"/>
          <w:sz w:val="20"/>
          <w:szCs w:val="20"/>
        </w:rPr>
        <w:t>98</w:t>
      </w:r>
      <w:r w:rsidR="00BB1EA5" w:rsidRPr="000C1EC5">
        <w:rPr>
          <w:rFonts w:ascii="Arial" w:hAnsi="Arial" w:cs="Arial"/>
          <w:sz w:val="20"/>
          <w:szCs w:val="20"/>
        </w:rPr>
        <w:t xml:space="preserve">% en la vigencia ubicándolo en un nivel sobresaliente. </w:t>
      </w:r>
    </w:p>
    <w:p w14:paraId="167C048A" w14:textId="77777777" w:rsidR="00BB1EA5" w:rsidRPr="000C1EC5" w:rsidRDefault="00BB1EA5" w:rsidP="002E49F0">
      <w:pPr>
        <w:jc w:val="both"/>
        <w:rPr>
          <w:rFonts w:ascii="Arial" w:hAnsi="Arial" w:cs="Arial"/>
          <w:sz w:val="20"/>
          <w:szCs w:val="20"/>
        </w:rPr>
      </w:pPr>
    </w:p>
    <w:p w14:paraId="2EC6DDC7" w14:textId="4AA1BF70" w:rsidR="00BB1EA5" w:rsidRPr="000C1EC5" w:rsidRDefault="00644B57" w:rsidP="002E49F0">
      <w:pPr>
        <w:jc w:val="both"/>
        <w:rPr>
          <w:rFonts w:ascii="Arial" w:hAnsi="Arial" w:cs="Arial"/>
          <w:sz w:val="20"/>
          <w:szCs w:val="20"/>
        </w:rPr>
      </w:pPr>
      <w:r>
        <w:rPr>
          <w:rFonts w:ascii="Arial" w:hAnsi="Arial" w:cs="Arial"/>
          <w:sz w:val="20"/>
          <w:szCs w:val="20"/>
        </w:rPr>
        <w:t>3.</w:t>
      </w:r>
      <w:r w:rsidRPr="000C1EC5">
        <w:rPr>
          <w:rFonts w:ascii="Arial" w:hAnsi="Arial" w:cs="Arial"/>
          <w:b/>
          <w:sz w:val="20"/>
          <w:szCs w:val="20"/>
        </w:rPr>
        <w:t xml:space="preserve"> Administrar</w:t>
      </w:r>
      <w:r w:rsidR="00BB1EA5" w:rsidRPr="000C1EC5">
        <w:rPr>
          <w:rFonts w:ascii="Arial" w:hAnsi="Arial" w:cs="Arial"/>
          <w:b/>
          <w:sz w:val="20"/>
          <w:szCs w:val="20"/>
        </w:rPr>
        <w:t xml:space="preserve"> y conservar los documentos de la Secretaría Distrital de Ambiente, de acuerdo con lo establecido en la Tabla de Retención Documental TRD; fortaleciendo la preservación de la memoria institucional y la transparencia en el manejo de la información</w:t>
      </w:r>
      <w:r w:rsidR="00BB1EA5" w:rsidRPr="000C1EC5">
        <w:rPr>
          <w:rFonts w:ascii="Arial" w:hAnsi="Arial" w:cs="Arial"/>
          <w:sz w:val="20"/>
          <w:szCs w:val="20"/>
        </w:rPr>
        <w:t xml:space="preserve">. Hacen parte de este objetivo de calidad tres (3) indicadores </w:t>
      </w:r>
      <w:r w:rsidR="00D205F5">
        <w:rPr>
          <w:rFonts w:ascii="Arial" w:hAnsi="Arial" w:cs="Arial"/>
          <w:sz w:val="20"/>
          <w:szCs w:val="20"/>
        </w:rPr>
        <w:t>de los cuales</w:t>
      </w:r>
      <w:r w:rsidR="00E90B2B">
        <w:rPr>
          <w:rFonts w:ascii="Arial" w:hAnsi="Arial" w:cs="Arial"/>
          <w:sz w:val="20"/>
          <w:szCs w:val="20"/>
        </w:rPr>
        <w:t xml:space="preserve"> no</w:t>
      </w:r>
      <w:r w:rsidR="00D205F5">
        <w:rPr>
          <w:rFonts w:ascii="Arial" w:hAnsi="Arial" w:cs="Arial"/>
          <w:sz w:val="20"/>
          <w:szCs w:val="20"/>
        </w:rPr>
        <w:t xml:space="preserve"> se </w:t>
      </w:r>
      <w:r w:rsidR="00E90B2B">
        <w:rPr>
          <w:rFonts w:ascii="Arial" w:hAnsi="Arial" w:cs="Arial"/>
          <w:sz w:val="20"/>
          <w:szCs w:val="20"/>
        </w:rPr>
        <w:t>programaron reporte para el periodo evaluado.</w:t>
      </w:r>
    </w:p>
    <w:p w14:paraId="1E36E540" w14:textId="77777777" w:rsidR="00BB1EA5" w:rsidRPr="000C1EC5" w:rsidRDefault="00BB1EA5" w:rsidP="002E49F0">
      <w:pPr>
        <w:jc w:val="both"/>
        <w:rPr>
          <w:rFonts w:ascii="Arial" w:hAnsi="Arial" w:cs="Arial"/>
          <w:sz w:val="20"/>
          <w:szCs w:val="20"/>
        </w:rPr>
      </w:pPr>
    </w:p>
    <w:p w14:paraId="3B058671" w14:textId="18E0651F" w:rsidR="00BB1EA5" w:rsidRPr="000C1EC5" w:rsidRDefault="00644B57" w:rsidP="002E49F0">
      <w:pPr>
        <w:jc w:val="both"/>
        <w:rPr>
          <w:rFonts w:ascii="Arial" w:hAnsi="Arial" w:cs="Arial"/>
          <w:sz w:val="20"/>
          <w:szCs w:val="20"/>
        </w:rPr>
      </w:pPr>
      <w:r>
        <w:rPr>
          <w:rFonts w:ascii="Arial" w:hAnsi="Arial" w:cs="Arial"/>
          <w:sz w:val="20"/>
          <w:szCs w:val="20"/>
        </w:rPr>
        <w:t>4.</w:t>
      </w:r>
      <w:r w:rsidRPr="000C1EC5">
        <w:rPr>
          <w:rFonts w:ascii="Arial" w:hAnsi="Arial" w:cs="Arial"/>
          <w:b/>
          <w:sz w:val="20"/>
          <w:szCs w:val="20"/>
        </w:rPr>
        <w:t xml:space="preserve"> Prevenir</w:t>
      </w:r>
      <w:r w:rsidR="00BB1EA5" w:rsidRPr="000C1EC5">
        <w:rPr>
          <w:rFonts w:ascii="Arial" w:hAnsi="Arial" w:cs="Arial"/>
          <w:b/>
          <w:sz w:val="20"/>
          <w:szCs w:val="20"/>
        </w:rPr>
        <w:t xml:space="preserve"> o mitigar los riesgos y peligros identificados en la Secretaría Distrital de Ambiente, que afecten o puedan afectar la salud y seguridad de su personal, sus clientes y visitantes.</w:t>
      </w:r>
      <w:r w:rsidR="00BB1EA5" w:rsidRPr="000C1EC5">
        <w:rPr>
          <w:rFonts w:ascii="Arial" w:hAnsi="Arial" w:cs="Arial"/>
          <w:sz w:val="20"/>
          <w:szCs w:val="20"/>
        </w:rPr>
        <w:t xml:space="preserve"> Este objetivo de calidad lo integran seis (6) indicadores, </w:t>
      </w:r>
      <w:r w:rsidR="009F547C" w:rsidRPr="000C1EC5">
        <w:rPr>
          <w:rFonts w:ascii="Arial" w:hAnsi="Arial" w:cs="Arial"/>
          <w:sz w:val="20"/>
          <w:szCs w:val="20"/>
        </w:rPr>
        <w:t xml:space="preserve">de los cuales se evalúan en el periodo </w:t>
      </w:r>
      <w:r w:rsidR="009F547C">
        <w:rPr>
          <w:rFonts w:ascii="Arial" w:hAnsi="Arial" w:cs="Arial"/>
          <w:sz w:val="20"/>
          <w:szCs w:val="20"/>
        </w:rPr>
        <w:t xml:space="preserve">dos (2) </w:t>
      </w:r>
      <w:r w:rsidR="00D205F5">
        <w:rPr>
          <w:rFonts w:ascii="Arial" w:hAnsi="Arial" w:cs="Arial"/>
          <w:sz w:val="20"/>
          <w:szCs w:val="20"/>
        </w:rPr>
        <w:t>con</w:t>
      </w:r>
      <w:r w:rsidR="00BB1EA5" w:rsidRPr="000C1EC5">
        <w:rPr>
          <w:rFonts w:ascii="Arial" w:hAnsi="Arial" w:cs="Arial"/>
          <w:sz w:val="20"/>
          <w:szCs w:val="20"/>
        </w:rPr>
        <w:t xml:space="preserve"> una ejecución del </w:t>
      </w:r>
      <w:r w:rsidR="009F547C">
        <w:rPr>
          <w:rFonts w:ascii="Arial" w:hAnsi="Arial" w:cs="Arial"/>
          <w:sz w:val="20"/>
          <w:szCs w:val="20"/>
        </w:rPr>
        <w:t>100</w:t>
      </w:r>
      <w:r w:rsidR="00BB1EA5" w:rsidRPr="000C1EC5">
        <w:rPr>
          <w:rFonts w:ascii="Arial" w:hAnsi="Arial" w:cs="Arial"/>
          <w:sz w:val="20"/>
          <w:szCs w:val="20"/>
        </w:rPr>
        <w:t xml:space="preserve">% en el mes y en la vigencia </w:t>
      </w:r>
      <w:r w:rsidR="0018765A">
        <w:rPr>
          <w:rFonts w:ascii="Arial" w:hAnsi="Arial" w:cs="Arial"/>
          <w:sz w:val="20"/>
          <w:szCs w:val="20"/>
        </w:rPr>
        <w:t xml:space="preserve">un </w:t>
      </w:r>
      <w:r w:rsidR="009F547C">
        <w:rPr>
          <w:rFonts w:ascii="Arial" w:hAnsi="Arial" w:cs="Arial"/>
          <w:sz w:val="20"/>
          <w:szCs w:val="20"/>
        </w:rPr>
        <w:t>100</w:t>
      </w:r>
      <w:r w:rsidR="0018765A">
        <w:rPr>
          <w:rFonts w:ascii="Arial" w:hAnsi="Arial" w:cs="Arial"/>
          <w:sz w:val="20"/>
          <w:szCs w:val="20"/>
        </w:rPr>
        <w:t xml:space="preserve">% </w:t>
      </w:r>
      <w:r w:rsidR="00BB1EA5" w:rsidRPr="000C1EC5">
        <w:rPr>
          <w:rFonts w:ascii="Arial" w:hAnsi="Arial" w:cs="Arial"/>
          <w:sz w:val="20"/>
          <w:szCs w:val="20"/>
        </w:rPr>
        <w:t xml:space="preserve">ubicándolo en un nivel sobresaliente. </w:t>
      </w:r>
    </w:p>
    <w:p w14:paraId="5E036DBF" w14:textId="77777777" w:rsidR="00BB1EA5" w:rsidRPr="000C1EC5" w:rsidRDefault="00BB1EA5" w:rsidP="002E49F0">
      <w:pPr>
        <w:jc w:val="both"/>
        <w:rPr>
          <w:rFonts w:ascii="Arial" w:hAnsi="Arial" w:cs="Arial"/>
          <w:sz w:val="20"/>
          <w:szCs w:val="20"/>
        </w:rPr>
      </w:pPr>
    </w:p>
    <w:p w14:paraId="44962A47" w14:textId="77777777" w:rsidR="00BB1EA5" w:rsidRPr="000C1EC5" w:rsidRDefault="00644B57" w:rsidP="002E49F0">
      <w:pPr>
        <w:jc w:val="both"/>
        <w:rPr>
          <w:rFonts w:ascii="Arial" w:hAnsi="Arial" w:cs="Arial"/>
          <w:sz w:val="20"/>
          <w:szCs w:val="20"/>
        </w:rPr>
      </w:pPr>
      <w:r>
        <w:rPr>
          <w:rFonts w:ascii="Arial" w:hAnsi="Arial" w:cs="Arial"/>
          <w:sz w:val="20"/>
          <w:szCs w:val="20"/>
        </w:rPr>
        <w:t>5.</w:t>
      </w:r>
      <w:r w:rsidRPr="000C1EC5">
        <w:rPr>
          <w:rFonts w:ascii="Arial" w:hAnsi="Arial" w:cs="Arial"/>
          <w:b/>
          <w:sz w:val="20"/>
          <w:szCs w:val="20"/>
        </w:rPr>
        <w:t xml:space="preserve"> Promover</w:t>
      </w:r>
      <w:r w:rsidR="00BB1EA5" w:rsidRPr="000C1EC5">
        <w:rPr>
          <w:rFonts w:ascii="Arial" w:hAnsi="Arial" w:cs="Arial"/>
          <w:b/>
          <w:sz w:val="20"/>
          <w:szCs w:val="20"/>
        </w:rPr>
        <w:t xml:space="preserve"> la vinculación de la comunidad a los procesos, ambientalmente sostenibles, liderados por la Secretaría Distrital de Ambiente.</w:t>
      </w:r>
      <w:r w:rsidR="00BB1EA5" w:rsidRPr="000C1EC5">
        <w:rPr>
          <w:rFonts w:ascii="Arial" w:hAnsi="Arial" w:cs="Arial"/>
          <w:sz w:val="20"/>
          <w:szCs w:val="20"/>
        </w:rPr>
        <w:t xml:space="preserve">  Hacen parte de este objetivo de calidad tres (3) indicadores, de los cuales dos (2) reportan en el periodo un avance del 100% y en</w:t>
      </w:r>
      <w:r w:rsidR="0018765A">
        <w:rPr>
          <w:rFonts w:ascii="Arial" w:hAnsi="Arial" w:cs="Arial"/>
          <w:sz w:val="20"/>
          <w:szCs w:val="20"/>
        </w:rPr>
        <w:t xml:space="preserve"> la vigencia una ejecución del 8</w:t>
      </w:r>
      <w:r w:rsidR="00BB1EA5" w:rsidRPr="000C1EC5">
        <w:rPr>
          <w:rFonts w:ascii="Arial" w:hAnsi="Arial" w:cs="Arial"/>
          <w:sz w:val="20"/>
          <w:szCs w:val="20"/>
        </w:rPr>
        <w:t>9,</w:t>
      </w:r>
      <w:r w:rsidR="0018765A">
        <w:rPr>
          <w:rFonts w:ascii="Arial" w:hAnsi="Arial" w:cs="Arial"/>
          <w:sz w:val="20"/>
          <w:szCs w:val="20"/>
        </w:rPr>
        <w:t>68</w:t>
      </w:r>
      <w:r w:rsidR="00BB1EA5" w:rsidRPr="000C1EC5">
        <w:rPr>
          <w:rFonts w:ascii="Arial" w:hAnsi="Arial" w:cs="Arial"/>
          <w:sz w:val="20"/>
          <w:szCs w:val="20"/>
        </w:rPr>
        <w:t>% que lo ubica en un nivel sobresaliente de cumplimiento.</w:t>
      </w:r>
    </w:p>
    <w:p w14:paraId="4FE0C33A" w14:textId="77777777" w:rsidR="00BB1EA5" w:rsidRPr="000C1EC5" w:rsidRDefault="00BB1EA5" w:rsidP="002E49F0">
      <w:pPr>
        <w:jc w:val="both"/>
        <w:rPr>
          <w:rFonts w:ascii="Arial" w:hAnsi="Arial" w:cs="Arial"/>
          <w:sz w:val="20"/>
          <w:szCs w:val="20"/>
        </w:rPr>
      </w:pPr>
    </w:p>
    <w:p w14:paraId="7CAE7550" w14:textId="626E8BA1" w:rsidR="00BB1EA5" w:rsidRPr="000C1EC5" w:rsidRDefault="00644B57" w:rsidP="002E49F0">
      <w:pPr>
        <w:jc w:val="both"/>
        <w:rPr>
          <w:rFonts w:ascii="Arial" w:hAnsi="Arial" w:cs="Arial"/>
          <w:sz w:val="20"/>
          <w:szCs w:val="20"/>
        </w:rPr>
      </w:pPr>
      <w:r>
        <w:rPr>
          <w:rFonts w:ascii="Arial" w:hAnsi="Arial" w:cs="Arial"/>
          <w:sz w:val="20"/>
          <w:szCs w:val="20"/>
        </w:rPr>
        <w:t>6.</w:t>
      </w:r>
      <w:r w:rsidRPr="000C1EC5">
        <w:rPr>
          <w:rFonts w:ascii="Arial" w:hAnsi="Arial" w:cs="Arial"/>
          <w:b/>
          <w:sz w:val="20"/>
          <w:szCs w:val="20"/>
        </w:rPr>
        <w:t xml:space="preserve"> Promover</w:t>
      </w:r>
      <w:r w:rsidR="00BB1EA5" w:rsidRPr="000C1EC5">
        <w:rPr>
          <w:rFonts w:ascii="Arial" w:hAnsi="Arial" w:cs="Arial"/>
          <w:b/>
          <w:sz w:val="20"/>
          <w:szCs w:val="20"/>
        </w:rPr>
        <w:t xml:space="preserve"> el autocontrol y mejora continua de la Secretaría Distrital de Ambiente – SDA a través de la verificación y seguimiento de las actividades desarrolladas.</w:t>
      </w:r>
      <w:r w:rsidR="00BB1EA5" w:rsidRPr="000C1EC5">
        <w:rPr>
          <w:rFonts w:ascii="Arial" w:hAnsi="Arial" w:cs="Arial"/>
          <w:sz w:val="20"/>
          <w:szCs w:val="20"/>
        </w:rPr>
        <w:t xml:space="preserve"> Este objetivo de calidad lo integran dieciocho (18) indicadores, de los cuales, están programados</w:t>
      </w:r>
      <w:r w:rsidR="009F547C">
        <w:rPr>
          <w:rFonts w:ascii="Arial" w:hAnsi="Arial" w:cs="Arial"/>
          <w:sz w:val="20"/>
          <w:szCs w:val="20"/>
        </w:rPr>
        <w:t xml:space="preserve"> a</w:t>
      </w:r>
      <w:r w:rsidR="00BB1EA5" w:rsidRPr="000C1EC5">
        <w:rPr>
          <w:rFonts w:ascii="Arial" w:hAnsi="Arial" w:cs="Arial"/>
          <w:sz w:val="20"/>
          <w:szCs w:val="20"/>
        </w:rPr>
        <w:t xml:space="preserve"> evaluar </w:t>
      </w:r>
      <w:r w:rsidR="009F547C">
        <w:rPr>
          <w:rFonts w:ascii="Arial" w:hAnsi="Arial" w:cs="Arial"/>
          <w:sz w:val="20"/>
          <w:szCs w:val="20"/>
        </w:rPr>
        <w:t xml:space="preserve">cuatro </w:t>
      </w:r>
      <w:r w:rsidR="0018765A">
        <w:rPr>
          <w:rFonts w:ascii="Arial" w:hAnsi="Arial" w:cs="Arial"/>
          <w:sz w:val="20"/>
          <w:szCs w:val="20"/>
        </w:rPr>
        <w:t>(</w:t>
      </w:r>
      <w:r w:rsidR="009F547C">
        <w:rPr>
          <w:rFonts w:ascii="Arial" w:hAnsi="Arial" w:cs="Arial"/>
          <w:sz w:val="20"/>
          <w:szCs w:val="20"/>
        </w:rPr>
        <w:t>4</w:t>
      </w:r>
      <w:r w:rsidR="00BB1EA5" w:rsidRPr="000C1EC5">
        <w:rPr>
          <w:rFonts w:ascii="Arial" w:hAnsi="Arial" w:cs="Arial"/>
          <w:sz w:val="20"/>
          <w:szCs w:val="20"/>
        </w:rPr>
        <w:t xml:space="preserve">) durante el periodo.  En el mes </w:t>
      </w:r>
      <w:r w:rsidR="009F547C">
        <w:rPr>
          <w:rFonts w:ascii="Arial" w:hAnsi="Arial" w:cs="Arial"/>
          <w:sz w:val="20"/>
          <w:szCs w:val="20"/>
        </w:rPr>
        <w:t>de abril</w:t>
      </w:r>
      <w:r w:rsidR="00BB1EA5" w:rsidRPr="000C1EC5">
        <w:rPr>
          <w:rFonts w:ascii="Arial" w:hAnsi="Arial" w:cs="Arial"/>
          <w:sz w:val="20"/>
          <w:szCs w:val="20"/>
        </w:rPr>
        <w:t xml:space="preserve">, el </w:t>
      </w:r>
      <w:r w:rsidR="009F547C">
        <w:rPr>
          <w:rFonts w:ascii="Arial" w:hAnsi="Arial" w:cs="Arial"/>
          <w:sz w:val="20"/>
          <w:szCs w:val="20"/>
        </w:rPr>
        <w:t>indicador</w:t>
      </w:r>
      <w:r w:rsidR="00BB1EA5" w:rsidRPr="000C1EC5">
        <w:rPr>
          <w:rFonts w:ascii="Arial" w:hAnsi="Arial" w:cs="Arial"/>
          <w:sz w:val="20"/>
          <w:szCs w:val="20"/>
        </w:rPr>
        <w:t xml:space="preserve"> obtuvo un </w:t>
      </w:r>
      <w:r w:rsidR="009F547C">
        <w:rPr>
          <w:rFonts w:ascii="Arial" w:hAnsi="Arial" w:cs="Arial"/>
          <w:sz w:val="20"/>
          <w:szCs w:val="20"/>
        </w:rPr>
        <w:t>sobre cumplimiento del</w:t>
      </w:r>
      <w:r w:rsidR="00BB1EA5" w:rsidRPr="000C1EC5">
        <w:rPr>
          <w:rFonts w:ascii="Arial" w:hAnsi="Arial" w:cs="Arial"/>
          <w:sz w:val="20"/>
          <w:szCs w:val="20"/>
        </w:rPr>
        <w:t xml:space="preserve"> </w:t>
      </w:r>
      <w:r w:rsidR="009F547C">
        <w:rPr>
          <w:rFonts w:ascii="Arial" w:hAnsi="Arial" w:cs="Arial"/>
          <w:sz w:val="20"/>
          <w:szCs w:val="20"/>
        </w:rPr>
        <w:t>110</w:t>
      </w:r>
      <w:r w:rsidR="00BB1EA5" w:rsidRPr="000C1EC5">
        <w:rPr>
          <w:rFonts w:ascii="Arial" w:hAnsi="Arial" w:cs="Arial"/>
          <w:sz w:val="20"/>
          <w:szCs w:val="20"/>
        </w:rPr>
        <w:t>% en el mes y en el acumulado</w:t>
      </w:r>
      <w:r w:rsidR="0018765A">
        <w:rPr>
          <w:rFonts w:ascii="Arial" w:hAnsi="Arial" w:cs="Arial"/>
          <w:sz w:val="20"/>
          <w:szCs w:val="20"/>
        </w:rPr>
        <w:t xml:space="preserve"> un </w:t>
      </w:r>
      <w:r w:rsidR="009F547C">
        <w:rPr>
          <w:rFonts w:ascii="Arial" w:hAnsi="Arial" w:cs="Arial"/>
          <w:sz w:val="20"/>
          <w:szCs w:val="20"/>
        </w:rPr>
        <w:t>76.50</w:t>
      </w:r>
      <w:r w:rsidR="0018765A">
        <w:rPr>
          <w:rFonts w:ascii="Arial" w:hAnsi="Arial" w:cs="Arial"/>
          <w:sz w:val="20"/>
          <w:szCs w:val="20"/>
        </w:rPr>
        <w:t>%</w:t>
      </w:r>
      <w:r w:rsidR="00BB1EA5" w:rsidRPr="000C1EC5">
        <w:rPr>
          <w:rFonts w:ascii="Arial" w:hAnsi="Arial" w:cs="Arial"/>
          <w:sz w:val="20"/>
          <w:szCs w:val="20"/>
        </w:rPr>
        <w:t xml:space="preserve">. </w:t>
      </w:r>
    </w:p>
    <w:p w14:paraId="4BD777D2" w14:textId="77777777" w:rsidR="00BB1EA5" w:rsidRPr="000C1EC5" w:rsidRDefault="00644B57" w:rsidP="002E49F0">
      <w:pPr>
        <w:jc w:val="both"/>
        <w:rPr>
          <w:rFonts w:ascii="Arial" w:hAnsi="Arial" w:cs="Arial"/>
          <w:sz w:val="20"/>
          <w:szCs w:val="20"/>
        </w:rPr>
      </w:pPr>
      <w:r>
        <w:rPr>
          <w:rFonts w:ascii="Arial" w:hAnsi="Arial" w:cs="Arial"/>
          <w:sz w:val="20"/>
          <w:szCs w:val="20"/>
        </w:rPr>
        <w:t>7.</w:t>
      </w:r>
      <w:r w:rsidRPr="000C1EC5">
        <w:rPr>
          <w:rFonts w:ascii="Arial" w:hAnsi="Arial" w:cs="Arial"/>
          <w:b/>
          <w:sz w:val="20"/>
          <w:szCs w:val="20"/>
        </w:rPr>
        <w:t xml:space="preserve"> Mitigar</w:t>
      </w:r>
      <w:r w:rsidR="00BB1EA5" w:rsidRPr="000C1EC5">
        <w:rPr>
          <w:rFonts w:ascii="Arial" w:hAnsi="Arial" w:cs="Arial"/>
          <w:b/>
          <w:sz w:val="20"/>
          <w:szCs w:val="20"/>
        </w:rPr>
        <w:t xml:space="preserve"> y/o prevenir los aspectos e impactos ambientales negativos identificados en la Secretaría Distrital de Ambiente – SDA y que se producen en el desarrollo de sus actividades</w:t>
      </w:r>
      <w:r w:rsidR="00BB1EA5" w:rsidRPr="000C1EC5">
        <w:rPr>
          <w:rFonts w:ascii="Arial" w:hAnsi="Arial" w:cs="Arial"/>
          <w:sz w:val="20"/>
          <w:szCs w:val="20"/>
        </w:rPr>
        <w:t>. Este objetivo, para la vigencia 2020 no tiene indicadores asociados.</w:t>
      </w:r>
    </w:p>
    <w:p w14:paraId="241C9393" w14:textId="0D0ADE66" w:rsidR="00BB1EA5" w:rsidRPr="000C1EC5" w:rsidRDefault="00BB1EA5" w:rsidP="002E49F0">
      <w:pPr>
        <w:jc w:val="both"/>
        <w:rPr>
          <w:rFonts w:ascii="Arial" w:hAnsi="Arial" w:cs="Arial"/>
          <w:sz w:val="20"/>
          <w:szCs w:val="20"/>
        </w:rPr>
      </w:pPr>
      <w:r w:rsidRPr="000C1EC5">
        <w:rPr>
          <w:rFonts w:ascii="Arial" w:hAnsi="Arial" w:cs="Arial"/>
          <w:sz w:val="20"/>
          <w:szCs w:val="20"/>
        </w:rPr>
        <w:t xml:space="preserve">En términos generales la evaluación por Objetivos de Calidad presenta una ejecución para el periodo del </w:t>
      </w:r>
      <w:r w:rsidR="00283188">
        <w:rPr>
          <w:rFonts w:ascii="Arial" w:hAnsi="Arial" w:cs="Arial"/>
          <w:sz w:val="20"/>
          <w:szCs w:val="20"/>
        </w:rPr>
        <w:t>90.12</w:t>
      </w:r>
      <w:r w:rsidRPr="000C1EC5">
        <w:rPr>
          <w:rFonts w:ascii="Arial" w:hAnsi="Arial" w:cs="Arial"/>
          <w:sz w:val="20"/>
          <w:szCs w:val="20"/>
        </w:rPr>
        <w:t>%</w:t>
      </w:r>
      <w:r w:rsidR="009F547C">
        <w:rPr>
          <w:rFonts w:ascii="Arial" w:hAnsi="Arial" w:cs="Arial"/>
          <w:sz w:val="20"/>
          <w:szCs w:val="20"/>
        </w:rPr>
        <w:t xml:space="preserve"> acumulado en el mes</w:t>
      </w:r>
      <w:r w:rsidRPr="000C1EC5">
        <w:rPr>
          <w:rFonts w:ascii="Arial" w:hAnsi="Arial" w:cs="Arial"/>
          <w:sz w:val="20"/>
          <w:szCs w:val="20"/>
        </w:rPr>
        <w:t xml:space="preserve"> y </w:t>
      </w:r>
      <w:r w:rsidR="009F547C">
        <w:rPr>
          <w:rFonts w:ascii="Arial" w:hAnsi="Arial" w:cs="Arial"/>
          <w:sz w:val="20"/>
          <w:szCs w:val="20"/>
        </w:rPr>
        <w:t xml:space="preserve">un </w:t>
      </w:r>
      <w:r w:rsidRPr="000C1EC5">
        <w:rPr>
          <w:rFonts w:ascii="Arial" w:hAnsi="Arial" w:cs="Arial"/>
          <w:sz w:val="20"/>
          <w:szCs w:val="20"/>
        </w:rPr>
        <w:t xml:space="preserve"> </w:t>
      </w:r>
      <w:r w:rsidR="009F547C">
        <w:rPr>
          <w:rFonts w:ascii="Arial" w:hAnsi="Arial" w:cs="Arial"/>
          <w:sz w:val="20"/>
          <w:szCs w:val="20"/>
        </w:rPr>
        <w:t>88.94</w:t>
      </w:r>
      <w:r w:rsidRPr="000C1EC5">
        <w:rPr>
          <w:rFonts w:ascii="Arial" w:hAnsi="Arial" w:cs="Arial"/>
          <w:sz w:val="20"/>
          <w:szCs w:val="20"/>
        </w:rPr>
        <w:t>% en el acumulado</w:t>
      </w:r>
      <w:r w:rsidR="009F547C">
        <w:rPr>
          <w:rFonts w:ascii="Arial" w:hAnsi="Arial" w:cs="Arial"/>
          <w:sz w:val="20"/>
          <w:szCs w:val="20"/>
        </w:rPr>
        <w:t xml:space="preserve"> anual</w:t>
      </w:r>
      <w:r w:rsidRPr="000C1EC5">
        <w:rPr>
          <w:rFonts w:ascii="Arial" w:hAnsi="Arial" w:cs="Arial"/>
          <w:sz w:val="20"/>
          <w:szCs w:val="20"/>
        </w:rPr>
        <w:t>, lo que ubica a la entidad en un nivel sobresaliente.</w:t>
      </w:r>
    </w:p>
    <w:p w14:paraId="77563189" w14:textId="77777777" w:rsidR="00BB1EA5" w:rsidRPr="000C1EC5" w:rsidRDefault="00BB1EA5" w:rsidP="002E49F0">
      <w:pPr>
        <w:jc w:val="both"/>
        <w:rPr>
          <w:rFonts w:ascii="Arial" w:hAnsi="Arial" w:cs="Arial"/>
          <w:sz w:val="20"/>
          <w:szCs w:val="20"/>
        </w:rPr>
      </w:pPr>
    </w:p>
    <w:p w14:paraId="40B74B62" w14:textId="0ACB728D" w:rsidR="00BB1EA5" w:rsidRPr="00944229" w:rsidRDefault="00BB1EA5" w:rsidP="00CB2230">
      <w:pPr>
        <w:pStyle w:val="Ttulo1"/>
        <w:numPr>
          <w:ilvl w:val="0"/>
          <w:numId w:val="7"/>
        </w:numPr>
        <w:jc w:val="center"/>
      </w:pPr>
      <w:bookmarkStart w:id="16" w:name="_Toc41378126"/>
      <w:r w:rsidRPr="00944229">
        <w:lastRenderedPageBreak/>
        <w:t>Evaluación Proyectos de Inversión</w:t>
      </w:r>
      <w:bookmarkEnd w:id="16"/>
    </w:p>
    <w:p w14:paraId="52D3B6C2" w14:textId="0258BC19" w:rsidR="00BB1EA5" w:rsidRPr="000C1EC5" w:rsidRDefault="00BB1EA5" w:rsidP="00BB1EA5">
      <w:pPr>
        <w:ind w:left="284"/>
        <w:rPr>
          <w:rFonts w:ascii="Arial" w:hAnsi="Arial" w:cs="Arial"/>
          <w:sz w:val="20"/>
          <w:szCs w:val="20"/>
        </w:rPr>
      </w:pPr>
    </w:p>
    <w:p w14:paraId="1F17073F" w14:textId="3A18462D" w:rsidR="00BB1EA5" w:rsidRPr="000C1EC5" w:rsidRDefault="00BB1EA5" w:rsidP="00BB1EA5">
      <w:pPr>
        <w:tabs>
          <w:tab w:val="left" w:pos="9356"/>
          <w:tab w:val="left" w:pos="9781"/>
        </w:tabs>
        <w:ind w:right="24"/>
        <w:jc w:val="both"/>
        <w:rPr>
          <w:rFonts w:ascii="Arial" w:hAnsi="Arial" w:cs="Arial"/>
          <w:sz w:val="20"/>
          <w:szCs w:val="20"/>
        </w:rPr>
      </w:pPr>
      <w:r w:rsidRPr="000C1EC5">
        <w:rPr>
          <w:rFonts w:ascii="Arial" w:hAnsi="Arial" w:cs="Arial"/>
          <w:sz w:val="20"/>
          <w:szCs w:val="20"/>
        </w:rPr>
        <w:t xml:space="preserve">La Secretaría Distrital de Ambiente, para el año 2020, cuenta con trece (13) proyectos de inversión en el marco del PDD Bogotá Mejor para todos, a cuyas metas dan cumplimiento ciento siete (107) de los, ciento treinta y cinco (135) indicadores de gestión programados para la vigencia; los otros veintiocho (28) indicadores no tienen proyecto de inversión asociado. </w:t>
      </w:r>
    </w:p>
    <w:p w14:paraId="517DBC66" w14:textId="1010CE16" w:rsidR="00BB1EA5" w:rsidRDefault="004237BB" w:rsidP="00BB1EA5">
      <w:pPr>
        <w:ind w:left="142" w:right="209"/>
        <w:jc w:val="both"/>
        <w:rPr>
          <w:rFonts w:ascii="Arial" w:hAnsi="Arial" w:cs="Arial"/>
          <w:sz w:val="20"/>
          <w:szCs w:val="20"/>
        </w:rPr>
      </w:pPr>
      <w:r w:rsidRPr="00930DAA">
        <w:rPr>
          <w:noProof/>
          <w:lang w:val="es-CO" w:eastAsia="es-CO"/>
        </w:rPr>
        <w:drawing>
          <wp:anchor distT="0" distB="0" distL="114300" distR="114300" simplePos="0" relativeHeight="251681792" behindDoc="0" locked="0" layoutInCell="1" allowOverlap="1" wp14:anchorId="5D68E863" wp14:editId="1541EC5B">
            <wp:simplePos x="0" y="0"/>
            <wp:positionH relativeFrom="margin">
              <wp:align>center</wp:align>
            </wp:positionH>
            <wp:positionV relativeFrom="paragraph">
              <wp:posOffset>635</wp:posOffset>
            </wp:positionV>
            <wp:extent cx="6846268" cy="45912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46268" cy="4591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AD19CA" w14:textId="259CEBDA" w:rsidR="004237BB" w:rsidRDefault="004237BB" w:rsidP="00BB1EA5">
      <w:pPr>
        <w:ind w:left="142" w:right="209"/>
        <w:jc w:val="both"/>
        <w:rPr>
          <w:rFonts w:ascii="Arial" w:hAnsi="Arial" w:cs="Arial"/>
          <w:sz w:val="20"/>
          <w:szCs w:val="20"/>
        </w:rPr>
      </w:pPr>
    </w:p>
    <w:p w14:paraId="43E38BE7" w14:textId="342E64AE" w:rsidR="004237BB" w:rsidRDefault="004237BB" w:rsidP="00BB1EA5">
      <w:pPr>
        <w:ind w:left="142" w:right="209"/>
        <w:jc w:val="both"/>
        <w:rPr>
          <w:rFonts w:ascii="Arial" w:hAnsi="Arial" w:cs="Arial"/>
          <w:sz w:val="20"/>
          <w:szCs w:val="20"/>
        </w:rPr>
      </w:pPr>
    </w:p>
    <w:p w14:paraId="0B7AF3C3" w14:textId="510A1EA5" w:rsidR="004237BB" w:rsidRDefault="004237BB" w:rsidP="00BB1EA5">
      <w:pPr>
        <w:ind w:left="142" w:right="209"/>
        <w:jc w:val="both"/>
        <w:rPr>
          <w:rFonts w:ascii="Arial" w:hAnsi="Arial" w:cs="Arial"/>
          <w:sz w:val="20"/>
          <w:szCs w:val="20"/>
        </w:rPr>
      </w:pPr>
    </w:p>
    <w:p w14:paraId="06E64753" w14:textId="0FFFC3F6" w:rsidR="004237BB" w:rsidRDefault="004237BB" w:rsidP="00BB1EA5">
      <w:pPr>
        <w:ind w:left="142" w:right="209"/>
        <w:jc w:val="both"/>
        <w:rPr>
          <w:rFonts w:ascii="Arial" w:hAnsi="Arial" w:cs="Arial"/>
          <w:sz w:val="20"/>
          <w:szCs w:val="20"/>
        </w:rPr>
      </w:pPr>
    </w:p>
    <w:p w14:paraId="4B4AF991" w14:textId="3947CC7B" w:rsidR="004237BB" w:rsidRDefault="004237BB" w:rsidP="00BB1EA5">
      <w:pPr>
        <w:ind w:left="142" w:right="209"/>
        <w:jc w:val="both"/>
        <w:rPr>
          <w:rFonts w:ascii="Arial" w:hAnsi="Arial" w:cs="Arial"/>
          <w:sz w:val="20"/>
          <w:szCs w:val="20"/>
        </w:rPr>
      </w:pPr>
    </w:p>
    <w:p w14:paraId="16551548" w14:textId="5E4AFDF1" w:rsidR="004237BB" w:rsidRDefault="004237BB" w:rsidP="00BB1EA5">
      <w:pPr>
        <w:ind w:left="142" w:right="209"/>
        <w:jc w:val="both"/>
        <w:rPr>
          <w:rFonts w:ascii="Arial" w:hAnsi="Arial" w:cs="Arial"/>
          <w:sz w:val="20"/>
          <w:szCs w:val="20"/>
        </w:rPr>
      </w:pPr>
    </w:p>
    <w:p w14:paraId="591E2A52" w14:textId="620BED50" w:rsidR="004237BB" w:rsidRDefault="004237BB" w:rsidP="00BB1EA5">
      <w:pPr>
        <w:ind w:left="142" w:right="209"/>
        <w:jc w:val="both"/>
        <w:rPr>
          <w:rFonts w:ascii="Arial" w:hAnsi="Arial" w:cs="Arial"/>
          <w:sz w:val="20"/>
          <w:szCs w:val="20"/>
        </w:rPr>
      </w:pPr>
    </w:p>
    <w:p w14:paraId="754A6A58" w14:textId="0F451CA2" w:rsidR="004237BB" w:rsidRDefault="004237BB" w:rsidP="00BB1EA5">
      <w:pPr>
        <w:ind w:left="142" w:right="209"/>
        <w:jc w:val="both"/>
        <w:rPr>
          <w:rFonts w:ascii="Arial" w:hAnsi="Arial" w:cs="Arial"/>
          <w:sz w:val="20"/>
          <w:szCs w:val="20"/>
        </w:rPr>
      </w:pPr>
    </w:p>
    <w:p w14:paraId="42DEBB03" w14:textId="51896CC3" w:rsidR="004237BB" w:rsidRDefault="004237BB" w:rsidP="00BB1EA5">
      <w:pPr>
        <w:ind w:left="142" w:right="209"/>
        <w:jc w:val="both"/>
        <w:rPr>
          <w:rFonts w:ascii="Arial" w:hAnsi="Arial" w:cs="Arial"/>
          <w:sz w:val="20"/>
          <w:szCs w:val="20"/>
        </w:rPr>
      </w:pPr>
    </w:p>
    <w:p w14:paraId="75B94478" w14:textId="65B068EF" w:rsidR="004237BB" w:rsidRDefault="004237BB" w:rsidP="00BB1EA5">
      <w:pPr>
        <w:ind w:left="142" w:right="209"/>
        <w:jc w:val="both"/>
        <w:rPr>
          <w:rFonts w:ascii="Arial" w:hAnsi="Arial" w:cs="Arial"/>
          <w:sz w:val="20"/>
          <w:szCs w:val="20"/>
        </w:rPr>
      </w:pPr>
    </w:p>
    <w:p w14:paraId="5F849C63" w14:textId="74899006" w:rsidR="004237BB" w:rsidRDefault="004237BB" w:rsidP="00BB1EA5">
      <w:pPr>
        <w:ind w:left="142" w:right="209"/>
        <w:jc w:val="both"/>
        <w:rPr>
          <w:rFonts w:ascii="Arial" w:hAnsi="Arial" w:cs="Arial"/>
          <w:sz w:val="20"/>
          <w:szCs w:val="20"/>
        </w:rPr>
      </w:pPr>
    </w:p>
    <w:p w14:paraId="7D707846" w14:textId="77777777" w:rsidR="004237BB" w:rsidRDefault="004237BB" w:rsidP="00BB1EA5">
      <w:pPr>
        <w:ind w:left="142" w:right="209"/>
        <w:jc w:val="both"/>
        <w:rPr>
          <w:rFonts w:ascii="Arial" w:hAnsi="Arial" w:cs="Arial"/>
          <w:sz w:val="20"/>
          <w:szCs w:val="20"/>
        </w:rPr>
      </w:pPr>
    </w:p>
    <w:p w14:paraId="5EC30E5D" w14:textId="18C93FD2" w:rsidR="004237BB" w:rsidRDefault="004237BB" w:rsidP="00BB1EA5">
      <w:pPr>
        <w:ind w:left="142" w:right="209"/>
        <w:jc w:val="both"/>
        <w:rPr>
          <w:rFonts w:ascii="Arial" w:hAnsi="Arial" w:cs="Arial"/>
          <w:sz w:val="20"/>
          <w:szCs w:val="20"/>
        </w:rPr>
      </w:pPr>
    </w:p>
    <w:p w14:paraId="7C0AE637" w14:textId="39EB0AC3" w:rsidR="004237BB" w:rsidRDefault="004237BB" w:rsidP="00BB1EA5">
      <w:pPr>
        <w:ind w:left="142" w:right="209"/>
        <w:jc w:val="both"/>
        <w:rPr>
          <w:rFonts w:ascii="Arial" w:hAnsi="Arial" w:cs="Arial"/>
          <w:sz w:val="20"/>
          <w:szCs w:val="20"/>
        </w:rPr>
      </w:pPr>
    </w:p>
    <w:p w14:paraId="492EC36A" w14:textId="77777777" w:rsidR="004237BB" w:rsidRDefault="004237BB" w:rsidP="00BB1EA5">
      <w:pPr>
        <w:ind w:left="142" w:right="209"/>
        <w:jc w:val="both"/>
        <w:rPr>
          <w:rFonts w:ascii="Arial" w:hAnsi="Arial" w:cs="Arial"/>
          <w:sz w:val="20"/>
          <w:szCs w:val="20"/>
        </w:rPr>
      </w:pPr>
    </w:p>
    <w:p w14:paraId="220BA807" w14:textId="77777777" w:rsidR="004237BB" w:rsidRDefault="004237BB" w:rsidP="00BB1EA5">
      <w:pPr>
        <w:ind w:left="142" w:right="209"/>
        <w:jc w:val="both"/>
        <w:rPr>
          <w:rFonts w:ascii="Arial" w:hAnsi="Arial" w:cs="Arial"/>
          <w:sz w:val="20"/>
          <w:szCs w:val="20"/>
        </w:rPr>
      </w:pPr>
    </w:p>
    <w:p w14:paraId="3439EB50" w14:textId="316A324A" w:rsidR="004237BB" w:rsidRDefault="004237BB" w:rsidP="00BB1EA5">
      <w:pPr>
        <w:ind w:left="142" w:right="209"/>
        <w:jc w:val="both"/>
        <w:rPr>
          <w:rFonts w:ascii="Arial" w:hAnsi="Arial" w:cs="Arial"/>
          <w:sz w:val="20"/>
          <w:szCs w:val="20"/>
        </w:rPr>
      </w:pPr>
    </w:p>
    <w:p w14:paraId="1D1508F2" w14:textId="77777777" w:rsidR="004237BB" w:rsidRDefault="004237BB" w:rsidP="00BB1EA5">
      <w:pPr>
        <w:tabs>
          <w:tab w:val="left" w:pos="9356"/>
          <w:tab w:val="left" w:pos="9781"/>
        </w:tabs>
        <w:ind w:right="24"/>
        <w:jc w:val="both"/>
        <w:rPr>
          <w:rFonts w:ascii="Arial" w:hAnsi="Arial" w:cs="Arial"/>
          <w:sz w:val="20"/>
          <w:szCs w:val="20"/>
        </w:rPr>
      </w:pPr>
    </w:p>
    <w:p w14:paraId="4227D3B3" w14:textId="1D3A1D59" w:rsidR="00BB1EA5" w:rsidRPr="000C1EC5" w:rsidRDefault="00BB1EA5" w:rsidP="00BB1EA5">
      <w:pPr>
        <w:tabs>
          <w:tab w:val="left" w:pos="9356"/>
          <w:tab w:val="left" w:pos="9781"/>
        </w:tabs>
        <w:ind w:right="24"/>
        <w:jc w:val="both"/>
        <w:rPr>
          <w:rFonts w:ascii="Arial" w:hAnsi="Arial" w:cs="Arial"/>
          <w:sz w:val="20"/>
          <w:szCs w:val="20"/>
        </w:rPr>
      </w:pPr>
      <w:r w:rsidRPr="000C1EC5">
        <w:rPr>
          <w:rFonts w:ascii="Arial" w:hAnsi="Arial" w:cs="Arial"/>
          <w:sz w:val="20"/>
          <w:szCs w:val="20"/>
        </w:rPr>
        <w:t xml:space="preserve">En la gráfica anterior, “Evaluación por Proyectos de Inversión” se evidencia que los proyectos evaluados se encuentran en </w:t>
      </w:r>
      <w:r w:rsidR="007F0254">
        <w:rPr>
          <w:rFonts w:ascii="Arial" w:hAnsi="Arial" w:cs="Arial"/>
          <w:sz w:val="20"/>
          <w:szCs w:val="20"/>
        </w:rPr>
        <w:t xml:space="preserve">su mayoría en </w:t>
      </w:r>
      <w:r w:rsidRPr="000C1EC5">
        <w:rPr>
          <w:rFonts w:ascii="Arial" w:hAnsi="Arial" w:cs="Arial"/>
          <w:sz w:val="20"/>
          <w:szCs w:val="20"/>
        </w:rPr>
        <w:t>un nivel sobresaliente de evaluación acumulada,</w:t>
      </w:r>
      <w:r w:rsidR="007F0254">
        <w:rPr>
          <w:rFonts w:ascii="Arial" w:hAnsi="Arial" w:cs="Arial"/>
          <w:sz w:val="20"/>
          <w:szCs w:val="20"/>
        </w:rPr>
        <w:t xml:space="preserve"> de los cuales, se destacan los proyectos </w:t>
      </w:r>
      <w:r w:rsidR="00930DAA">
        <w:rPr>
          <w:rFonts w:ascii="Arial" w:hAnsi="Arial" w:cs="Arial"/>
          <w:sz w:val="20"/>
          <w:szCs w:val="20"/>
        </w:rPr>
        <w:t>981, 1100, 1132.</w:t>
      </w:r>
    </w:p>
    <w:p w14:paraId="0CF146D5" w14:textId="567F11CF" w:rsidR="00BB1EA5" w:rsidRPr="000C1EC5" w:rsidRDefault="00BB1EA5" w:rsidP="00BB1EA5">
      <w:pPr>
        <w:tabs>
          <w:tab w:val="left" w:pos="9356"/>
          <w:tab w:val="left" w:pos="9781"/>
        </w:tabs>
        <w:ind w:right="-129"/>
        <w:jc w:val="both"/>
        <w:rPr>
          <w:rFonts w:ascii="Arial" w:hAnsi="Arial" w:cs="Arial"/>
          <w:sz w:val="20"/>
          <w:szCs w:val="20"/>
          <w:lang w:val="es-ES" w:eastAsia="ja-JP"/>
        </w:rPr>
      </w:pPr>
      <w:r w:rsidRPr="000C1EC5">
        <w:rPr>
          <w:rFonts w:ascii="Arial" w:hAnsi="Arial" w:cs="Arial"/>
          <w:sz w:val="20"/>
          <w:szCs w:val="20"/>
          <w:lang w:val="es-ES" w:eastAsia="ja-JP"/>
        </w:rPr>
        <w:t xml:space="preserve">Los </w:t>
      </w:r>
      <w:r w:rsidRPr="000C1EC5">
        <w:rPr>
          <w:rFonts w:ascii="Arial" w:hAnsi="Arial" w:cs="Arial"/>
          <w:sz w:val="20"/>
          <w:szCs w:val="20"/>
          <w:lang w:val="es-ES"/>
        </w:rPr>
        <w:t>indicadores</w:t>
      </w:r>
      <w:r w:rsidRPr="000C1EC5">
        <w:rPr>
          <w:rFonts w:ascii="Arial" w:hAnsi="Arial" w:cs="Arial"/>
          <w:sz w:val="20"/>
          <w:szCs w:val="20"/>
          <w:lang w:val="es-ES" w:eastAsia="ja-JP"/>
        </w:rPr>
        <w:t xml:space="preserve"> no asociados a proyectos de inversión se </w:t>
      </w:r>
      <w:r w:rsidRPr="000C1EC5">
        <w:rPr>
          <w:rFonts w:ascii="Arial" w:hAnsi="Arial" w:cs="Arial"/>
          <w:sz w:val="20"/>
          <w:szCs w:val="20"/>
          <w:lang w:val="es-ES"/>
        </w:rPr>
        <w:t>resaltan</w:t>
      </w:r>
      <w:r w:rsidR="007E50D0">
        <w:rPr>
          <w:rFonts w:ascii="Arial" w:hAnsi="Arial" w:cs="Arial"/>
          <w:sz w:val="20"/>
          <w:szCs w:val="20"/>
          <w:lang w:val="es-ES"/>
        </w:rPr>
        <w:t>,</w:t>
      </w:r>
      <w:r w:rsidRPr="000C1EC5">
        <w:rPr>
          <w:rFonts w:ascii="Arial" w:hAnsi="Arial" w:cs="Arial"/>
          <w:sz w:val="20"/>
          <w:szCs w:val="20"/>
          <w:lang w:val="es-ES" w:eastAsia="ja-JP"/>
        </w:rPr>
        <w:t xml:space="preserve"> para el mes de </w:t>
      </w:r>
      <w:r w:rsidR="00540B34">
        <w:rPr>
          <w:rFonts w:ascii="Arial" w:hAnsi="Arial" w:cs="Arial"/>
          <w:sz w:val="20"/>
          <w:szCs w:val="20"/>
          <w:lang w:val="es-ES"/>
        </w:rPr>
        <w:t>abril</w:t>
      </w:r>
      <w:r w:rsidRPr="000C1EC5">
        <w:rPr>
          <w:rFonts w:ascii="Arial" w:hAnsi="Arial" w:cs="Arial"/>
          <w:sz w:val="20"/>
          <w:szCs w:val="20"/>
          <w:lang w:val="es-ES"/>
        </w:rPr>
        <w:t xml:space="preserve"> </w:t>
      </w:r>
      <w:r w:rsidRPr="000C1EC5">
        <w:rPr>
          <w:rFonts w:ascii="Arial" w:hAnsi="Arial" w:cs="Arial"/>
          <w:sz w:val="20"/>
          <w:szCs w:val="20"/>
          <w:lang w:val="es-ES" w:eastAsia="ja-JP"/>
        </w:rPr>
        <w:t xml:space="preserve">se evalúan </w:t>
      </w:r>
      <w:r w:rsidR="00540B34">
        <w:rPr>
          <w:rFonts w:ascii="Arial" w:hAnsi="Arial" w:cs="Arial"/>
          <w:sz w:val="20"/>
          <w:szCs w:val="20"/>
          <w:lang w:val="es-ES" w:eastAsia="ja-JP"/>
        </w:rPr>
        <w:t>ocho (8</w:t>
      </w:r>
      <w:r w:rsidRPr="000C1EC5">
        <w:rPr>
          <w:rFonts w:ascii="Arial" w:hAnsi="Arial" w:cs="Arial"/>
          <w:sz w:val="20"/>
          <w:szCs w:val="20"/>
          <w:lang w:val="es-ES" w:eastAsia="ja-JP"/>
        </w:rPr>
        <w:t>) de los veintiocho (28) establecidos, los cuales presentan una ejecución mensu</w:t>
      </w:r>
      <w:r w:rsidR="007E50D0">
        <w:rPr>
          <w:rFonts w:ascii="Arial" w:hAnsi="Arial" w:cs="Arial"/>
          <w:sz w:val="20"/>
          <w:szCs w:val="20"/>
          <w:lang w:val="es-ES" w:eastAsia="ja-JP"/>
        </w:rPr>
        <w:t xml:space="preserve">al promedio del </w:t>
      </w:r>
      <w:r w:rsidR="00540B34">
        <w:rPr>
          <w:rFonts w:ascii="Arial" w:hAnsi="Arial" w:cs="Arial"/>
          <w:sz w:val="20"/>
          <w:szCs w:val="20"/>
          <w:lang w:val="es-ES" w:eastAsia="ja-JP"/>
        </w:rPr>
        <w:t>103</w:t>
      </w:r>
      <w:r w:rsidRPr="000C1EC5">
        <w:rPr>
          <w:rFonts w:ascii="Arial" w:hAnsi="Arial" w:cs="Arial"/>
          <w:sz w:val="20"/>
          <w:szCs w:val="20"/>
          <w:lang w:val="es-ES"/>
        </w:rPr>
        <w:t xml:space="preserve">% en el periodo y </w:t>
      </w:r>
      <w:r w:rsidR="00540B34">
        <w:rPr>
          <w:rFonts w:ascii="Arial" w:hAnsi="Arial" w:cs="Arial"/>
          <w:sz w:val="20"/>
          <w:szCs w:val="20"/>
          <w:lang w:val="es-ES"/>
        </w:rPr>
        <w:t>91.27</w:t>
      </w:r>
      <w:r w:rsidRPr="000C1EC5">
        <w:rPr>
          <w:rFonts w:ascii="Arial" w:hAnsi="Arial" w:cs="Arial"/>
          <w:sz w:val="20"/>
          <w:szCs w:val="20"/>
          <w:lang w:val="es-ES"/>
        </w:rPr>
        <w:t xml:space="preserve">% </w:t>
      </w:r>
      <w:r w:rsidRPr="000C1EC5">
        <w:rPr>
          <w:rFonts w:ascii="Arial" w:hAnsi="Arial" w:cs="Arial"/>
          <w:sz w:val="20"/>
          <w:szCs w:val="20"/>
          <w:lang w:val="es-ES" w:eastAsia="ja-JP"/>
        </w:rPr>
        <w:t>en el acumulado que los ubica en un nivel sobresaliente.</w:t>
      </w:r>
    </w:p>
    <w:p w14:paraId="1F3713D3" w14:textId="0A631D05" w:rsidR="00BB1EA5" w:rsidRDefault="004237BB" w:rsidP="00BB1EA5">
      <w:pPr>
        <w:tabs>
          <w:tab w:val="left" w:pos="9923"/>
        </w:tabs>
        <w:ind w:right="-129"/>
        <w:jc w:val="both"/>
        <w:rPr>
          <w:rFonts w:ascii="Arial" w:hAnsi="Arial" w:cs="Arial"/>
          <w:sz w:val="20"/>
          <w:szCs w:val="20"/>
          <w:lang w:val="es-ES" w:eastAsia="ja-JP"/>
        </w:rPr>
      </w:pPr>
      <w:r>
        <w:rPr>
          <w:rFonts w:ascii="Arial" w:hAnsi="Arial" w:cs="Arial"/>
          <w:sz w:val="20"/>
          <w:szCs w:val="20"/>
          <w:lang w:val="es-ES" w:eastAsia="ja-JP"/>
        </w:rPr>
        <w:t xml:space="preserve">Para los proyectos de inversión 979 y 1141, se evidencia un nivel de cumplimiento deficiente con un 48.11% para el proyecto 979 y 35% para el proyecto 1141 </w:t>
      </w:r>
      <w:r w:rsidR="00DF4B5C">
        <w:rPr>
          <w:rFonts w:ascii="Arial" w:hAnsi="Arial" w:cs="Arial"/>
          <w:sz w:val="20"/>
          <w:szCs w:val="20"/>
          <w:lang w:val="es-ES" w:eastAsia="ja-JP"/>
        </w:rPr>
        <w:t xml:space="preserve"> </w:t>
      </w:r>
    </w:p>
    <w:p w14:paraId="65094CF1" w14:textId="485FCC1D" w:rsidR="004237BB" w:rsidRDefault="004237BB" w:rsidP="004237BB">
      <w:pPr>
        <w:tabs>
          <w:tab w:val="left" w:pos="9356"/>
          <w:tab w:val="left" w:pos="9781"/>
        </w:tabs>
        <w:ind w:right="24"/>
        <w:jc w:val="both"/>
        <w:rPr>
          <w:rFonts w:ascii="Arial" w:hAnsi="Arial" w:cs="Arial"/>
          <w:sz w:val="20"/>
          <w:szCs w:val="20"/>
        </w:rPr>
      </w:pPr>
      <w:r w:rsidRPr="000C1EC5">
        <w:rPr>
          <w:rFonts w:ascii="Arial" w:hAnsi="Arial" w:cs="Arial"/>
          <w:sz w:val="20"/>
          <w:szCs w:val="20"/>
        </w:rPr>
        <w:t>Los indicadores para evaluar en el periodo son diecis</w:t>
      </w:r>
      <w:r>
        <w:rPr>
          <w:rFonts w:ascii="Arial" w:hAnsi="Arial" w:cs="Arial"/>
          <w:sz w:val="20"/>
          <w:szCs w:val="20"/>
        </w:rPr>
        <w:t>éis</w:t>
      </w:r>
      <w:r w:rsidRPr="000C1EC5">
        <w:rPr>
          <w:rFonts w:ascii="Arial" w:hAnsi="Arial" w:cs="Arial"/>
          <w:sz w:val="20"/>
          <w:szCs w:val="20"/>
        </w:rPr>
        <w:t xml:space="preserve"> (</w:t>
      </w:r>
      <w:r>
        <w:rPr>
          <w:rFonts w:ascii="Arial" w:hAnsi="Arial" w:cs="Arial"/>
          <w:sz w:val="20"/>
          <w:szCs w:val="20"/>
        </w:rPr>
        <w:t>16</w:t>
      </w:r>
      <w:r w:rsidRPr="000C1EC5">
        <w:rPr>
          <w:rFonts w:ascii="Arial" w:hAnsi="Arial" w:cs="Arial"/>
          <w:sz w:val="20"/>
          <w:szCs w:val="20"/>
        </w:rPr>
        <w:t xml:space="preserve">) </w:t>
      </w:r>
      <w:r w:rsidR="00DF4B5C">
        <w:rPr>
          <w:rFonts w:ascii="Arial" w:hAnsi="Arial" w:cs="Arial"/>
          <w:sz w:val="20"/>
          <w:szCs w:val="20"/>
        </w:rPr>
        <w:t xml:space="preserve"> con proyecto asociado y ocho (8) donde se </w:t>
      </w:r>
      <w:r w:rsidRPr="000C1EC5">
        <w:rPr>
          <w:rFonts w:ascii="Arial" w:hAnsi="Arial" w:cs="Arial"/>
          <w:sz w:val="20"/>
          <w:szCs w:val="20"/>
        </w:rPr>
        <w:t xml:space="preserve">evidencian un nivel sobresaliente con un avance del </w:t>
      </w:r>
      <w:r>
        <w:rPr>
          <w:rFonts w:ascii="Arial" w:hAnsi="Arial" w:cs="Arial"/>
          <w:sz w:val="20"/>
          <w:szCs w:val="20"/>
        </w:rPr>
        <w:t>76.48</w:t>
      </w:r>
      <w:r w:rsidRPr="000C1EC5">
        <w:rPr>
          <w:rFonts w:ascii="Arial" w:hAnsi="Arial" w:cs="Arial"/>
          <w:sz w:val="20"/>
          <w:szCs w:val="20"/>
        </w:rPr>
        <w:t xml:space="preserve">% en el periodo y </w:t>
      </w:r>
      <w:r>
        <w:rPr>
          <w:rFonts w:ascii="Arial" w:hAnsi="Arial" w:cs="Arial"/>
          <w:sz w:val="20"/>
          <w:szCs w:val="20"/>
        </w:rPr>
        <w:t>82.46</w:t>
      </w:r>
      <w:r w:rsidRPr="000C1EC5">
        <w:rPr>
          <w:rFonts w:ascii="Arial" w:hAnsi="Arial" w:cs="Arial"/>
          <w:sz w:val="20"/>
          <w:szCs w:val="20"/>
        </w:rPr>
        <w:t>% en el acumulado.</w:t>
      </w:r>
    </w:p>
    <w:p w14:paraId="03EAE2BE" w14:textId="77777777" w:rsidR="004237BB" w:rsidRPr="004237BB" w:rsidRDefault="004237BB" w:rsidP="00BB1EA5">
      <w:pPr>
        <w:tabs>
          <w:tab w:val="left" w:pos="9923"/>
        </w:tabs>
        <w:ind w:right="-129"/>
        <w:jc w:val="both"/>
        <w:rPr>
          <w:rFonts w:ascii="Arial" w:hAnsi="Arial" w:cs="Arial"/>
          <w:sz w:val="20"/>
          <w:szCs w:val="20"/>
          <w:lang w:val="es-ES" w:eastAsia="ja-JP"/>
        </w:rPr>
      </w:pPr>
    </w:p>
    <w:p w14:paraId="1F005335" w14:textId="41B624D2" w:rsidR="00BB1EA5" w:rsidRPr="000C1EC5" w:rsidRDefault="00BB1EA5" w:rsidP="00CB2230">
      <w:pPr>
        <w:pStyle w:val="Ttulo1"/>
        <w:numPr>
          <w:ilvl w:val="0"/>
          <w:numId w:val="7"/>
        </w:numPr>
        <w:jc w:val="center"/>
      </w:pPr>
      <w:bookmarkStart w:id="17" w:name="_Toc41378127"/>
      <w:r w:rsidRPr="000C1EC5">
        <w:t>Evaluación por Dependencia</w:t>
      </w:r>
      <w:bookmarkEnd w:id="17"/>
    </w:p>
    <w:p w14:paraId="6A84CBA7" w14:textId="5C502E16" w:rsidR="00BB1EA5" w:rsidRPr="000C1EC5" w:rsidRDefault="00BB1EA5" w:rsidP="00BB1EA5">
      <w:pPr>
        <w:rPr>
          <w:rFonts w:ascii="Arial" w:hAnsi="Arial" w:cs="Arial"/>
          <w:sz w:val="20"/>
          <w:szCs w:val="20"/>
        </w:rPr>
      </w:pPr>
    </w:p>
    <w:p w14:paraId="0385B6BD" w14:textId="781A495C" w:rsidR="00BB1EA5" w:rsidRPr="000C1EC5" w:rsidRDefault="00BB1EA5" w:rsidP="00BB1EA5">
      <w:pPr>
        <w:jc w:val="both"/>
        <w:rPr>
          <w:rFonts w:ascii="Arial" w:hAnsi="Arial" w:cs="Arial"/>
          <w:bCs/>
          <w:sz w:val="20"/>
          <w:szCs w:val="20"/>
          <w:lang w:val="es-ES"/>
        </w:rPr>
      </w:pPr>
      <w:r w:rsidRPr="000C1EC5">
        <w:rPr>
          <w:rFonts w:ascii="Arial" w:hAnsi="Arial" w:cs="Arial"/>
          <w:bCs/>
          <w:sz w:val="20"/>
          <w:szCs w:val="20"/>
          <w:lang w:val="es-ES"/>
        </w:rPr>
        <w:t xml:space="preserve">En el mes de </w:t>
      </w:r>
      <w:r w:rsidR="00540B34">
        <w:rPr>
          <w:rFonts w:ascii="Arial" w:hAnsi="Arial" w:cs="Arial"/>
          <w:sz w:val="20"/>
          <w:szCs w:val="20"/>
          <w:lang w:val="es-ES"/>
        </w:rPr>
        <w:t>abril</w:t>
      </w:r>
      <w:r w:rsidR="00ED24AB">
        <w:rPr>
          <w:rFonts w:ascii="Arial" w:hAnsi="Arial" w:cs="Arial"/>
          <w:sz w:val="20"/>
          <w:szCs w:val="20"/>
          <w:lang w:val="es-ES"/>
        </w:rPr>
        <w:t>,</w:t>
      </w:r>
      <w:r w:rsidR="007E50D0">
        <w:rPr>
          <w:rFonts w:ascii="Arial" w:hAnsi="Arial" w:cs="Arial"/>
          <w:sz w:val="20"/>
          <w:szCs w:val="20"/>
          <w:lang w:val="es-ES"/>
        </w:rPr>
        <w:t xml:space="preserve"> </w:t>
      </w:r>
      <w:r w:rsidR="00ED2AA7">
        <w:rPr>
          <w:rFonts w:ascii="Arial" w:hAnsi="Arial" w:cs="Arial"/>
          <w:bCs/>
          <w:sz w:val="20"/>
          <w:szCs w:val="20"/>
          <w:lang w:val="es-ES"/>
        </w:rPr>
        <w:t>once (11</w:t>
      </w:r>
      <w:r w:rsidRPr="000C1EC5">
        <w:rPr>
          <w:rFonts w:ascii="Arial" w:hAnsi="Arial" w:cs="Arial"/>
          <w:bCs/>
          <w:sz w:val="20"/>
          <w:szCs w:val="20"/>
          <w:lang w:val="es-ES"/>
        </w:rPr>
        <w:t xml:space="preserve">) dependencias de la entidad reportan indicadores de gestión; estas, en conjunto, aportan un nivel de calificación sobresaliente para la entidad con el </w:t>
      </w:r>
      <w:r w:rsidR="00ED2AA7">
        <w:rPr>
          <w:rFonts w:ascii="Arial" w:hAnsi="Arial" w:cs="Arial"/>
          <w:bCs/>
          <w:sz w:val="20"/>
          <w:szCs w:val="20"/>
          <w:lang w:val="es-ES"/>
        </w:rPr>
        <w:t xml:space="preserve">78.40% </w:t>
      </w:r>
      <w:r w:rsidRPr="000C1EC5">
        <w:rPr>
          <w:rFonts w:ascii="Arial" w:hAnsi="Arial" w:cs="Arial"/>
          <w:bCs/>
          <w:sz w:val="20"/>
          <w:szCs w:val="20"/>
          <w:lang w:val="es-ES"/>
        </w:rPr>
        <w:t xml:space="preserve"> en el periodo y el </w:t>
      </w:r>
      <w:r w:rsidR="00153D9E">
        <w:rPr>
          <w:rFonts w:ascii="Arial" w:hAnsi="Arial" w:cs="Arial"/>
          <w:bCs/>
          <w:sz w:val="20"/>
          <w:szCs w:val="20"/>
          <w:lang w:val="es-ES"/>
        </w:rPr>
        <w:t>53.56</w:t>
      </w:r>
      <w:r w:rsidRPr="000C1EC5">
        <w:rPr>
          <w:rFonts w:ascii="Arial" w:hAnsi="Arial" w:cs="Arial"/>
          <w:bCs/>
          <w:sz w:val="20"/>
          <w:szCs w:val="20"/>
          <w:lang w:val="es-ES"/>
        </w:rPr>
        <w:t>% en el acumulado, como lo evidencia la siguiente tabla:</w:t>
      </w:r>
    </w:p>
    <w:p w14:paraId="59651D5A" w14:textId="53F5C206" w:rsidR="003046EB" w:rsidRDefault="00DF4B5C" w:rsidP="00BB1EA5">
      <w:pPr>
        <w:jc w:val="center"/>
        <w:rPr>
          <w:rFonts w:ascii="Arial" w:hAnsi="Arial" w:cs="Arial"/>
          <w:sz w:val="20"/>
          <w:szCs w:val="20"/>
          <w:lang w:val="es-ES"/>
        </w:rPr>
      </w:pPr>
      <w:r w:rsidRPr="00835FC8">
        <w:rPr>
          <w:noProof/>
          <w:lang w:val="es-CO" w:eastAsia="es-CO"/>
        </w:rPr>
        <w:drawing>
          <wp:anchor distT="0" distB="0" distL="114300" distR="114300" simplePos="0" relativeHeight="251682816" behindDoc="0" locked="0" layoutInCell="1" allowOverlap="1" wp14:anchorId="1565A807" wp14:editId="4129068A">
            <wp:simplePos x="0" y="0"/>
            <wp:positionH relativeFrom="margin">
              <wp:align>center</wp:align>
            </wp:positionH>
            <wp:positionV relativeFrom="paragraph">
              <wp:posOffset>126365</wp:posOffset>
            </wp:positionV>
            <wp:extent cx="7332992" cy="3646200"/>
            <wp:effectExtent l="0" t="0" r="127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2992" cy="36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45DFB" w14:textId="104F7986" w:rsidR="00ED2AA7" w:rsidRDefault="00ED2AA7" w:rsidP="00BB1EA5">
      <w:pPr>
        <w:jc w:val="center"/>
        <w:rPr>
          <w:rFonts w:ascii="Arial" w:hAnsi="Arial" w:cs="Arial"/>
          <w:sz w:val="20"/>
          <w:szCs w:val="20"/>
          <w:lang w:val="es-ES"/>
        </w:rPr>
      </w:pPr>
    </w:p>
    <w:p w14:paraId="5B165694" w14:textId="71FA18EF" w:rsidR="00ED2AA7" w:rsidRDefault="00ED2AA7" w:rsidP="00BB1EA5">
      <w:pPr>
        <w:jc w:val="center"/>
        <w:rPr>
          <w:rFonts w:ascii="Arial" w:hAnsi="Arial" w:cs="Arial"/>
          <w:sz w:val="20"/>
          <w:szCs w:val="20"/>
          <w:lang w:val="es-ES"/>
        </w:rPr>
      </w:pPr>
    </w:p>
    <w:p w14:paraId="03044802" w14:textId="72AA7121" w:rsidR="00ED2AA7" w:rsidRDefault="00ED2AA7" w:rsidP="00BB1EA5">
      <w:pPr>
        <w:jc w:val="center"/>
        <w:rPr>
          <w:rFonts w:ascii="Arial" w:hAnsi="Arial" w:cs="Arial"/>
          <w:sz w:val="20"/>
          <w:szCs w:val="20"/>
          <w:lang w:val="es-ES"/>
        </w:rPr>
      </w:pPr>
    </w:p>
    <w:p w14:paraId="564B18D7" w14:textId="4A95DC9A" w:rsidR="00ED2AA7" w:rsidRDefault="00ED2AA7" w:rsidP="00BB1EA5">
      <w:pPr>
        <w:jc w:val="center"/>
        <w:rPr>
          <w:rFonts w:ascii="Arial" w:hAnsi="Arial" w:cs="Arial"/>
          <w:sz w:val="20"/>
          <w:szCs w:val="20"/>
          <w:lang w:val="es-ES"/>
        </w:rPr>
      </w:pPr>
    </w:p>
    <w:p w14:paraId="1A04DF14" w14:textId="77777777" w:rsidR="00ED2AA7" w:rsidRDefault="00ED2AA7" w:rsidP="00BB1EA5">
      <w:pPr>
        <w:jc w:val="center"/>
        <w:rPr>
          <w:rFonts w:ascii="Arial" w:hAnsi="Arial" w:cs="Arial"/>
          <w:sz w:val="20"/>
          <w:szCs w:val="20"/>
          <w:lang w:val="es-ES"/>
        </w:rPr>
      </w:pPr>
    </w:p>
    <w:p w14:paraId="1723EBD3" w14:textId="073CD561" w:rsidR="003046EB" w:rsidRDefault="003046EB" w:rsidP="00BB1EA5">
      <w:pPr>
        <w:jc w:val="center"/>
        <w:rPr>
          <w:rFonts w:ascii="Arial" w:hAnsi="Arial" w:cs="Arial"/>
          <w:sz w:val="20"/>
          <w:szCs w:val="20"/>
          <w:lang w:val="es-ES"/>
        </w:rPr>
      </w:pPr>
    </w:p>
    <w:p w14:paraId="581AC73B" w14:textId="133F089A" w:rsidR="003046EB" w:rsidRDefault="003046EB" w:rsidP="00BB1EA5">
      <w:pPr>
        <w:jc w:val="center"/>
        <w:rPr>
          <w:rFonts w:ascii="Arial" w:hAnsi="Arial" w:cs="Arial"/>
          <w:sz w:val="20"/>
          <w:szCs w:val="20"/>
          <w:lang w:val="es-ES"/>
        </w:rPr>
      </w:pPr>
    </w:p>
    <w:p w14:paraId="165A0A83" w14:textId="77777777" w:rsidR="003046EB" w:rsidRDefault="003046EB" w:rsidP="00BB1EA5">
      <w:pPr>
        <w:jc w:val="center"/>
        <w:rPr>
          <w:rFonts w:ascii="Arial" w:hAnsi="Arial" w:cs="Arial"/>
          <w:sz w:val="20"/>
          <w:szCs w:val="20"/>
          <w:lang w:val="es-ES"/>
        </w:rPr>
      </w:pPr>
    </w:p>
    <w:p w14:paraId="17520288" w14:textId="7EA038E5" w:rsidR="003046EB" w:rsidRPr="000C1EC5" w:rsidRDefault="003046EB" w:rsidP="00BB1EA5">
      <w:pPr>
        <w:jc w:val="center"/>
        <w:rPr>
          <w:rFonts w:ascii="Arial" w:hAnsi="Arial" w:cs="Arial"/>
          <w:sz w:val="20"/>
          <w:szCs w:val="20"/>
          <w:lang w:val="es-ES"/>
        </w:rPr>
      </w:pPr>
    </w:p>
    <w:p w14:paraId="4037E510" w14:textId="202CDE0A" w:rsidR="00BB1EA5" w:rsidRPr="000C1EC5" w:rsidRDefault="00BB1EA5" w:rsidP="00BB1EA5">
      <w:pPr>
        <w:ind w:right="146"/>
        <w:jc w:val="center"/>
        <w:rPr>
          <w:rFonts w:ascii="Arial" w:hAnsi="Arial" w:cs="Arial"/>
          <w:sz w:val="20"/>
          <w:szCs w:val="20"/>
          <w:lang w:val="es-ES"/>
        </w:rPr>
      </w:pPr>
    </w:p>
    <w:p w14:paraId="3B5B5F7E" w14:textId="79836790" w:rsidR="00BB1EA5" w:rsidRDefault="00BB1EA5" w:rsidP="00BB1EA5">
      <w:pPr>
        <w:rPr>
          <w:rFonts w:ascii="Arial" w:hAnsi="Arial" w:cs="Arial"/>
          <w:sz w:val="20"/>
          <w:szCs w:val="20"/>
          <w:lang w:val="es-ES"/>
        </w:rPr>
      </w:pPr>
    </w:p>
    <w:p w14:paraId="3B6B45F5" w14:textId="0B57BD15" w:rsidR="003046EB" w:rsidRDefault="003046EB" w:rsidP="00BB1EA5">
      <w:pPr>
        <w:rPr>
          <w:rFonts w:ascii="Arial" w:hAnsi="Arial" w:cs="Arial"/>
          <w:sz w:val="20"/>
          <w:szCs w:val="20"/>
          <w:lang w:val="es-ES"/>
        </w:rPr>
      </w:pPr>
    </w:p>
    <w:p w14:paraId="1D679209" w14:textId="450F35E9" w:rsidR="003046EB" w:rsidRDefault="003046EB" w:rsidP="00BB1EA5">
      <w:pPr>
        <w:rPr>
          <w:rFonts w:ascii="Arial" w:hAnsi="Arial" w:cs="Arial"/>
          <w:sz w:val="20"/>
          <w:szCs w:val="20"/>
          <w:lang w:val="es-ES"/>
        </w:rPr>
      </w:pPr>
    </w:p>
    <w:p w14:paraId="295A286E" w14:textId="6C96DB8F" w:rsidR="003046EB" w:rsidRPr="008A671C" w:rsidRDefault="008A671C" w:rsidP="00BB1EA5">
      <w:pPr>
        <w:rPr>
          <w:rFonts w:ascii="Arial" w:hAnsi="Arial" w:cs="Arial"/>
          <w:color w:val="FF0000"/>
          <w:sz w:val="20"/>
          <w:szCs w:val="20"/>
          <w:lang w:val="es-ES"/>
        </w:rPr>
      </w:pPr>
      <w:r w:rsidRPr="008A671C">
        <w:rPr>
          <w:rFonts w:ascii="Arial" w:hAnsi="Arial" w:cs="Arial"/>
          <w:color w:val="FF0000"/>
          <w:sz w:val="20"/>
          <w:szCs w:val="20"/>
          <w:lang w:val="es-ES"/>
        </w:rPr>
        <w:t>Análisis</w:t>
      </w:r>
    </w:p>
    <w:p w14:paraId="28D0942D" w14:textId="6C88B9DB" w:rsidR="00BB1EA5" w:rsidRPr="000C1EC5" w:rsidRDefault="00DF4B5C" w:rsidP="00ED2AA7">
      <w:pPr>
        <w:rPr>
          <w:rFonts w:ascii="Arial" w:hAnsi="Arial" w:cs="Arial"/>
          <w:sz w:val="20"/>
          <w:szCs w:val="20"/>
        </w:rPr>
      </w:pPr>
      <w:r>
        <w:rPr>
          <w:rFonts w:ascii="Arial" w:hAnsi="Arial" w:cs="Arial"/>
          <w:noProof/>
          <w:sz w:val="20"/>
          <w:szCs w:val="20"/>
          <w:lang w:val="es-CO" w:eastAsia="es-CO"/>
        </w:rPr>
        <w:drawing>
          <wp:anchor distT="0" distB="0" distL="114300" distR="114300" simplePos="0" relativeHeight="251683840" behindDoc="0" locked="0" layoutInCell="1" allowOverlap="1" wp14:anchorId="4C8769C9" wp14:editId="5BF12AF2">
            <wp:simplePos x="0" y="0"/>
            <wp:positionH relativeFrom="margin">
              <wp:align>center</wp:align>
            </wp:positionH>
            <wp:positionV relativeFrom="paragraph">
              <wp:posOffset>252730</wp:posOffset>
            </wp:positionV>
            <wp:extent cx="2078990" cy="3426460"/>
            <wp:effectExtent l="0" t="0" r="0" b="254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78990" cy="3426460"/>
                    </a:xfrm>
                    <a:prstGeom prst="rect">
                      <a:avLst/>
                    </a:prstGeom>
                    <a:noFill/>
                  </pic:spPr>
                </pic:pic>
              </a:graphicData>
            </a:graphic>
          </wp:anchor>
        </w:drawing>
      </w:r>
      <w:r w:rsidR="00BB1EA5" w:rsidRPr="000C1EC5">
        <w:rPr>
          <w:rFonts w:ascii="Arial" w:hAnsi="Arial" w:cs="Arial"/>
          <w:sz w:val="20"/>
          <w:szCs w:val="20"/>
        </w:rPr>
        <w:t xml:space="preserve">La ubicación de las dependencias según su avance de ejecución se presenta </w:t>
      </w:r>
      <w:r w:rsidR="00835FC8">
        <w:rPr>
          <w:rFonts w:ascii="Arial" w:hAnsi="Arial" w:cs="Arial"/>
          <w:sz w:val="20"/>
          <w:szCs w:val="20"/>
        </w:rPr>
        <w:t xml:space="preserve"> </w:t>
      </w:r>
      <w:r w:rsidR="00BB1EA5" w:rsidRPr="000C1EC5">
        <w:rPr>
          <w:rFonts w:ascii="Arial" w:hAnsi="Arial" w:cs="Arial"/>
          <w:sz w:val="20"/>
          <w:szCs w:val="20"/>
        </w:rPr>
        <w:t xml:space="preserve">en la gráfica adyacente. </w:t>
      </w:r>
    </w:p>
    <w:p w14:paraId="64D1591D" w14:textId="1878C776" w:rsidR="00363386" w:rsidRDefault="00363386" w:rsidP="00BB1EA5">
      <w:pPr>
        <w:rPr>
          <w:rFonts w:ascii="Arial" w:hAnsi="Arial" w:cs="Arial"/>
          <w:sz w:val="20"/>
          <w:szCs w:val="20"/>
        </w:rPr>
      </w:pPr>
    </w:p>
    <w:p w14:paraId="4E549469" w14:textId="3DC0C527" w:rsidR="00363386" w:rsidRDefault="00363386" w:rsidP="00BB1EA5">
      <w:pPr>
        <w:rPr>
          <w:rFonts w:ascii="Arial" w:hAnsi="Arial" w:cs="Arial"/>
          <w:sz w:val="20"/>
          <w:szCs w:val="20"/>
        </w:rPr>
      </w:pPr>
    </w:p>
    <w:p w14:paraId="03096B8A" w14:textId="5B2C36D8" w:rsidR="00CB2230" w:rsidRDefault="00CB2230" w:rsidP="00BB1EA5">
      <w:pPr>
        <w:rPr>
          <w:rFonts w:ascii="Arial" w:hAnsi="Arial" w:cs="Arial"/>
          <w:sz w:val="20"/>
          <w:szCs w:val="20"/>
        </w:rPr>
      </w:pPr>
    </w:p>
    <w:p w14:paraId="1B6F4C00" w14:textId="77777777" w:rsidR="00CB2230" w:rsidRDefault="00CB2230" w:rsidP="00BB1EA5">
      <w:pPr>
        <w:rPr>
          <w:rFonts w:ascii="Arial" w:hAnsi="Arial" w:cs="Arial"/>
          <w:sz w:val="20"/>
          <w:szCs w:val="20"/>
        </w:rPr>
      </w:pPr>
    </w:p>
    <w:p w14:paraId="17C35EB1" w14:textId="77777777" w:rsidR="00CB2230" w:rsidRDefault="00CB2230" w:rsidP="00BB1EA5">
      <w:pPr>
        <w:rPr>
          <w:rFonts w:ascii="Arial" w:hAnsi="Arial" w:cs="Arial"/>
          <w:sz w:val="20"/>
          <w:szCs w:val="20"/>
        </w:rPr>
      </w:pPr>
    </w:p>
    <w:p w14:paraId="3D1469BE" w14:textId="77777777" w:rsidR="00CB2230" w:rsidRDefault="00CB2230" w:rsidP="00BB1EA5">
      <w:pPr>
        <w:rPr>
          <w:rFonts w:ascii="Arial" w:hAnsi="Arial" w:cs="Arial"/>
          <w:sz w:val="20"/>
          <w:szCs w:val="20"/>
        </w:rPr>
      </w:pPr>
    </w:p>
    <w:p w14:paraId="532975C3" w14:textId="77777777" w:rsidR="00CB2230" w:rsidRDefault="00CB2230" w:rsidP="00BB1EA5">
      <w:pPr>
        <w:rPr>
          <w:rFonts w:ascii="Arial" w:hAnsi="Arial" w:cs="Arial"/>
          <w:sz w:val="20"/>
          <w:szCs w:val="20"/>
        </w:rPr>
      </w:pPr>
    </w:p>
    <w:p w14:paraId="1DCE690C" w14:textId="61C0FA02" w:rsidR="00363386" w:rsidRPr="000C1EC5" w:rsidRDefault="00363386" w:rsidP="00BB1EA5">
      <w:pPr>
        <w:rPr>
          <w:rFonts w:ascii="Arial" w:hAnsi="Arial" w:cs="Arial"/>
          <w:sz w:val="20"/>
          <w:szCs w:val="20"/>
        </w:rPr>
      </w:pPr>
    </w:p>
    <w:p w14:paraId="12A0B03A" w14:textId="1EA895FC" w:rsidR="00BB1EA5" w:rsidRPr="000C1EC5" w:rsidRDefault="00BB1EA5" w:rsidP="00BB1EA5">
      <w:pPr>
        <w:rPr>
          <w:rFonts w:ascii="Arial" w:hAnsi="Arial" w:cs="Arial"/>
          <w:sz w:val="20"/>
          <w:szCs w:val="20"/>
        </w:rPr>
      </w:pPr>
    </w:p>
    <w:p w14:paraId="399563C2" w14:textId="1B28463C" w:rsidR="00BB1EA5" w:rsidRPr="000C1EC5" w:rsidRDefault="00BB1EA5" w:rsidP="00BB1EA5">
      <w:pPr>
        <w:rPr>
          <w:rFonts w:ascii="Arial" w:hAnsi="Arial" w:cs="Arial"/>
          <w:sz w:val="20"/>
          <w:szCs w:val="20"/>
        </w:rPr>
      </w:pPr>
    </w:p>
    <w:p w14:paraId="0CD2F5DB" w14:textId="269BC78A" w:rsidR="00BB1EA5" w:rsidRPr="00C6711A" w:rsidRDefault="00BB1EA5" w:rsidP="00CB2230">
      <w:pPr>
        <w:pStyle w:val="Ttulo1"/>
        <w:numPr>
          <w:ilvl w:val="0"/>
          <w:numId w:val="7"/>
        </w:numPr>
        <w:jc w:val="center"/>
      </w:pPr>
      <w:bookmarkStart w:id="18" w:name="_Toc41378128"/>
      <w:r w:rsidRPr="00C6711A">
        <w:lastRenderedPageBreak/>
        <w:t>Gestión General de la Entidad</w:t>
      </w:r>
      <w:bookmarkEnd w:id="18"/>
    </w:p>
    <w:p w14:paraId="142E9ACB" w14:textId="2D0921C4" w:rsidR="00BB1EA5" w:rsidRPr="000C1EC5" w:rsidRDefault="00BB1EA5" w:rsidP="00BB1EA5">
      <w:pPr>
        <w:jc w:val="both"/>
        <w:rPr>
          <w:rFonts w:ascii="Arial" w:hAnsi="Arial" w:cs="Arial"/>
          <w:sz w:val="20"/>
          <w:szCs w:val="20"/>
        </w:rPr>
      </w:pPr>
    </w:p>
    <w:p w14:paraId="5AF5151E" w14:textId="4C33A1C5" w:rsidR="00BB1EA5" w:rsidRPr="00835FC8" w:rsidRDefault="00BB1EA5" w:rsidP="00BB1EA5">
      <w:pPr>
        <w:pStyle w:val="Prrafodelista"/>
        <w:ind w:left="0" w:right="-39"/>
        <w:jc w:val="both"/>
        <w:rPr>
          <w:rFonts w:ascii="Arial" w:hAnsi="Arial" w:cs="Arial"/>
          <w:sz w:val="20"/>
          <w:szCs w:val="20"/>
        </w:rPr>
      </w:pPr>
      <w:r w:rsidRPr="00835FC8">
        <w:rPr>
          <w:rFonts w:ascii="Arial" w:hAnsi="Arial" w:cs="Arial"/>
          <w:sz w:val="20"/>
          <w:szCs w:val="20"/>
        </w:rPr>
        <w:t xml:space="preserve">El resultado de la gestión general de la entidad está dado </w:t>
      </w:r>
      <w:r w:rsidRPr="00835FC8">
        <w:rPr>
          <w:rFonts w:ascii="Arial" w:hAnsi="Arial" w:cs="Arial"/>
          <w:bCs/>
          <w:sz w:val="20"/>
          <w:szCs w:val="20"/>
          <w:lang w:val="es-ES"/>
        </w:rPr>
        <w:t>por</w:t>
      </w:r>
      <w:r w:rsidRPr="00835FC8">
        <w:rPr>
          <w:rFonts w:ascii="Arial" w:hAnsi="Arial" w:cs="Arial"/>
          <w:sz w:val="20"/>
          <w:szCs w:val="20"/>
        </w:rPr>
        <w:t xml:space="preserve"> la calificación obtenida en la evaluación por procesos.  En el mes de </w:t>
      </w:r>
      <w:r w:rsidR="00FC0698">
        <w:rPr>
          <w:rFonts w:ascii="Arial" w:hAnsi="Arial" w:cs="Arial"/>
          <w:sz w:val="20"/>
          <w:szCs w:val="20"/>
          <w:lang w:val="es-ES"/>
        </w:rPr>
        <w:t>abril</w:t>
      </w:r>
      <w:r w:rsidRPr="00835FC8">
        <w:rPr>
          <w:rFonts w:ascii="Arial" w:hAnsi="Arial" w:cs="Arial"/>
          <w:sz w:val="20"/>
          <w:szCs w:val="20"/>
        </w:rPr>
        <w:t>, la entidad se encuentra en intervalo de calificación sobresaliente al reportar un nivel de des</w:t>
      </w:r>
      <w:r w:rsidR="00C6711A" w:rsidRPr="00835FC8">
        <w:rPr>
          <w:rFonts w:ascii="Arial" w:hAnsi="Arial" w:cs="Arial"/>
          <w:sz w:val="20"/>
          <w:szCs w:val="20"/>
        </w:rPr>
        <w:t xml:space="preserve">empeño en las actividades del </w:t>
      </w:r>
      <w:r w:rsidR="00DA315A">
        <w:rPr>
          <w:rFonts w:ascii="Arial" w:hAnsi="Arial" w:cs="Arial"/>
          <w:sz w:val="20"/>
          <w:szCs w:val="20"/>
        </w:rPr>
        <w:t>82.13</w:t>
      </w:r>
      <w:r w:rsidRPr="00835FC8">
        <w:rPr>
          <w:rFonts w:ascii="Arial" w:hAnsi="Arial" w:cs="Arial"/>
          <w:sz w:val="20"/>
          <w:szCs w:val="20"/>
        </w:rPr>
        <w:t xml:space="preserve">%. </w:t>
      </w:r>
    </w:p>
    <w:p w14:paraId="3CEFF17B" w14:textId="50CA5AC9" w:rsidR="00B53D21" w:rsidRDefault="00B53D21" w:rsidP="00C80F09">
      <w:pPr>
        <w:ind w:right="81"/>
        <w:jc w:val="both"/>
        <w:rPr>
          <w:noProof/>
          <w:lang w:val="es-CO" w:eastAsia="es-CO"/>
        </w:rPr>
      </w:pPr>
    </w:p>
    <w:p w14:paraId="5C0FD4D4" w14:textId="35F364AC" w:rsidR="00B53D21" w:rsidRDefault="00B53D21" w:rsidP="00C80F09">
      <w:pPr>
        <w:ind w:right="81"/>
        <w:jc w:val="both"/>
        <w:rPr>
          <w:noProof/>
          <w:lang w:val="es-CO" w:eastAsia="es-CO"/>
        </w:rPr>
      </w:pPr>
    </w:p>
    <w:p w14:paraId="6664B091" w14:textId="77777777" w:rsidR="00B53D21" w:rsidRDefault="00B53D21" w:rsidP="00C80F09">
      <w:pPr>
        <w:ind w:right="81"/>
        <w:jc w:val="both"/>
        <w:rPr>
          <w:rFonts w:ascii="Arial" w:hAnsi="Arial" w:cs="Arial"/>
          <w:sz w:val="20"/>
          <w:szCs w:val="20"/>
        </w:rPr>
      </w:pPr>
    </w:p>
    <w:p w14:paraId="1BE66443" w14:textId="0D8B1517" w:rsidR="00C80F09" w:rsidRPr="00C80F09" w:rsidRDefault="00C80F09" w:rsidP="00C80F09">
      <w:pPr>
        <w:ind w:right="81"/>
        <w:jc w:val="both"/>
        <w:rPr>
          <w:rFonts w:ascii="Arial" w:hAnsi="Arial" w:cs="Arial"/>
          <w:sz w:val="20"/>
          <w:szCs w:val="20"/>
        </w:rPr>
      </w:pPr>
    </w:p>
    <w:p w14:paraId="70A10C6B" w14:textId="58B9AAED" w:rsidR="00BB1EA5" w:rsidRPr="000C1EC5" w:rsidRDefault="00BB1EA5" w:rsidP="00BB1EA5">
      <w:pPr>
        <w:pStyle w:val="Prrafodelista"/>
        <w:ind w:right="81"/>
        <w:rPr>
          <w:rFonts w:ascii="Arial" w:hAnsi="Arial" w:cs="Arial"/>
          <w:sz w:val="20"/>
          <w:szCs w:val="20"/>
        </w:rPr>
      </w:pPr>
    </w:p>
    <w:p w14:paraId="01B7663D" w14:textId="10E78E08" w:rsidR="00BB1EA5" w:rsidRPr="000C1EC5" w:rsidRDefault="00DF4B5C" w:rsidP="00BB1EA5">
      <w:pPr>
        <w:ind w:left="142" w:right="4071"/>
        <w:jc w:val="center"/>
        <w:rPr>
          <w:rFonts w:ascii="Arial" w:hAnsi="Arial" w:cs="Arial"/>
          <w:sz w:val="20"/>
          <w:szCs w:val="20"/>
        </w:rPr>
      </w:pPr>
      <w:r>
        <w:rPr>
          <w:noProof/>
          <w:lang w:val="es-CO" w:eastAsia="es-CO"/>
        </w:rPr>
        <w:drawing>
          <wp:anchor distT="0" distB="0" distL="114300" distR="114300" simplePos="0" relativeHeight="251686912" behindDoc="0" locked="0" layoutInCell="1" allowOverlap="1" wp14:anchorId="1F323AD9" wp14:editId="367338C2">
            <wp:simplePos x="0" y="0"/>
            <wp:positionH relativeFrom="margin">
              <wp:align>center</wp:align>
            </wp:positionH>
            <wp:positionV relativeFrom="paragraph">
              <wp:posOffset>320675</wp:posOffset>
            </wp:positionV>
            <wp:extent cx="6590805" cy="3262296"/>
            <wp:effectExtent l="0" t="0" r="63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l="29210" t="32743" r="28028" b="29609"/>
                    <a:stretch/>
                  </pic:blipFill>
                  <pic:spPr bwMode="auto">
                    <a:xfrm>
                      <a:off x="0" y="0"/>
                      <a:ext cx="6590805" cy="32622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D9F272" w14:textId="10E3DED0" w:rsidR="00BB1EA5" w:rsidRPr="000C1EC5" w:rsidRDefault="00BB1EA5" w:rsidP="00BB1EA5">
      <w:pPr>
        <w:tabs>
          <w:tab w:val="left" w:pos="7260"/>
        </w:tabs>
        <w:rPr>
          <w:rFonts w:ascii="Arial" w:hAnsi="Arial" w:cs="Arial"/>
          <w:sz w:val="20"/>
          <w:szCs w:val="20"/>
        </w:rPr>
      </w:pPr>
    </w:p>
    <w:sectPr w:rsidR="00BB1EA5" w:rsidRPr="000C1EC5" w:rsidSect="00135C06">
      <w:pgSz w:w="12240" w:h="15840"/>
      <w:pgMar w:top="1417" w:right="1701" w:bottom="1417" w:left="1701"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1874" w16cex:dateUtc="2020-05-22T14:23:00Z"/>
  <w16cex:commentExtensible w16cex:durableId="22721923" w16cex:dateUtc="2020-05-22T14:25:00Z"/>
  <w16cex:commentExtensible w16cex:durableId="227218CB" w16cex:dateUtc="2020-05-22T14:24:00Z"/>
  <w16cex:commentExtensible w16cex:durableId="2272195F" w16cex:dateUtc="2020-05-22T14:26:00Z"/>
  <w16cex:commentExtensible w16cex:durableId="22721985" w16cex:dateUtc="2020-05-22T14:27:00Z"/>
  <w16cex:commentExtensible w16cex:durableId="227219A0" w16cex:dateUtc="2020-05-22T14:28:00Z"/>
  <w16cex:commentExtensible w16cex:durableId="227219C5" w16cex:dateUtc="2020-05-22T14:28:00Z"/>
  <w16cex:commentExtensible w16cex:durableId="227219E9" w16cex:dateUtc="2020-05-22T14:29:00Z"/>
  <w16cex:commentExtensible w16cex:durableId="22721A8E" w16cex:dateUtc="2020-05-22T14:31:00Z"/>
  <w16cex:commentExtensible w16cex:durableId="22721ACC" w16cex:dateUtc="2020-05-22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202E65" w16cid:durableId="22721874"/>
  <w16cid:commentId w16cid:paraId="20E8E43F" w16cid:durableId="22721923"/>
  <w16cid:commentId w16cid:paraId="181641A4" w16cid:durableId="227218CB"/>
  <w16cid:commentId w16cid:paraId="1D1BA7FA" w16cid:durableId="2272195F"/>
  <w16cid:commentId w16cid:paraId="21A4AD9A" w16cid:durableId="22721985"/>
  <w16cid:commentId w16cid:paraId="3559C015" w16cid:durableId="227219A0"/>
  <w16cid:commentId w16cid:paraId="523482DB" w16cid:durableId="227219C5"/>
  <w16cid:commentId w16cid:paraId="02003B7C" w16cid:durableId="227219E9"/>
  <w16cid:commentId w16cid:paraId="37B2E0A8" w16cid:durableId="22721A8E"/>
  <w16cid:commentId w16cid:paraId="218BAEE2" w16cid:durableId="22721A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76BC" w14:textId="77777777" w:rsidR="00567E7C" w:rsidRDefault="00567E7C" w:rsidP="00C6711A">
      <w:pPr>
        <w:spacing w:after="0" w:line="240" w:lineRule="auto"/>
      </w:pPr>
      <w:r>
        <w:separator/>
      </w:r>
    </w:p>
  </w:endnote>
  <w:endnote w:type="continuationSeparator" w:id="0">
    <w:p w14:paraId="74B51B85" w14:textId="77777777" w:rsidR="00567E7C" w:rsidRDefault="00567E7C" w:rsidP="00C6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CDCFF" w14:textId="77777777" w:rsidR="00567E7C" w:rsidRDefault="00567E7C" w:rsidP="00C6711A">
      <w:pPr>
        <w:spacing w:after="0" w:line="240" w:lineRule="auto"/>
      </w:pPr>
      <w:r>
        <w:separator/>
      </w:r>
    </w:p>
  </w:footnote>
  <w:footnote w:type="continuationSeparator" w:id="0">
    <w:p w14:paraId="24D2A810" w14:textId="77777777" w:rsidR="00567E7C" w:rsidRDefault="00567E7C" w:rsidP="00C67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A0A590"/>
    <w:lvl w:ilvl="0">
      <w:start w:val="1"/>
      <w:numFmt w:val="bullet"/>
      <w:lvlText w:val=""/>
      <w:lvlJc w:val="left"/>
      <w:pPr>
        <w:tabs>
          <w:tab w:val="num" w:pos="4961"/>
        </w:tabs>
        <w:ind w:left="4961" w:firstLine="0"/>
      </w:pPr>
      <w:rPr>
        <w:rFonts w:ascii="Symbol" w:hAnsi="Symbol" w:hint="default"/>
      </w:rPr>
    </w:lvl>
    <w:lvl w:ilvl="1">
      <w:start w:val="1"/>
      <w:numFmt w:val="bullet"/>
      <w:lvlText w:val=""/>
      <w:lvlJc w:val="left"/>
      <w:pPr>
        <w:tabs>
          <w:tab w:val="num" w:pos="5681"/>
        </w:tabs>
        <w:ind w:left="6041" w:hanging="360"/>
      </w:pPr>
      <w:rPr>
        <w:rFonts w:ascii="Symbol" w:hAnsi="Symbol" w:hint="default"/>
      </w:rPr>
    </w:lvl>
    <w:lvl w:ilvl="2">
      <w:start w:val="1"/>
      <w:numFmt w:val="bullet"/>
      <w:lvlText w:val="o"/>
      <w:lvlJc w:val="left"/>
      <w:pPr>
        <w:tabs>
          <w:tab w:val="num" w:pos="6401"/>
        </w:tabs>
        <w:ind w:left="6761" w:hanging="360"/>
      </w:pPr>
      <w:rPr>
        <w:rFonts w:ascii="Courier New" w:hAnsi="Courier New" w:hint="default"/>
      </w:rPr>
    </w:lvl>
    <w:lvl w:ilvl="3">
      <w:start w:val="1"/>
      <w:numFmt w:val="bullet"/>
      <w:lvlText w:val=""/>
      <w:lvlJc w:val="left"/>
      <w:pPr>
        <w:tabs>
          <w:tab w:val="num" w:pos="7121"/>
        </w:tabs>
        <w:ind w:left="7481" w:hanging="360"/>
      </w:pPr>
      <w:rPr>
        <w:rFonts w:ascii="Wingdings" w:hAnsi="Wingdings" w:hint="default"/>
      </w:rPr>
    </w:lvl>
    <w:lvl w:ilvl="4">
      <w:start w:val="1"/>
      <w:numFmt w:val="bullet"/>
      <w:lvlText w:val=""/>
      <w:lvlJc w:val="left"/>
      <w:pPr>
        <w:tabs>
          <w:tab w:val="num" w:pos="7841"/>
        </w:tabs>
        <w:ind w:left="8201" w:hanging="360"/>
      </w:pPr>
      <w:rPr>
        <w:rFonts w:ascii="Wingdings" w:hAnsi="Wingdings" w:hint="default"/>
      </w:rPr>
    </w:lvl>
    <w:lvl w:ilvl="5">
      <w:start w:val="1"/>
      <w:numFmt w:val="bullet"/>
      <w:lvlText w:val=""/>
      <w:lvlJc w:val="left"/>
      <w:pPr>
        <w:tabs>
          <w:tab w:val="num" w:pos="8561"/>
        </w:tabs>
        <w:ind w:left="8921" w:hanging="360"/>
      </w:pPr>
      <w:rPr>
        <w:rFonts w:ascii="Symbol" w:hAnsi="Symbol" w:hint="default"/>
      </w:rPr>
    </w:lvl>
    <w:lvl w:ilvl="6">
      <w:start w:val="1"/>
      <w:numFmt w:val="bullet"/>
      <w:lvlText w:val="o"/>
      <w:lvlJc w:val="left"/>
      <w:pPr>
        <w:tabs>
          <w:tab w:val="num" w:pos="9281"/>
        </w:tabs>
        <w:ind w:left="9641" w:hanging="360"/>
      </w:pPr>
      <w:rPr>
        <w:rFonts w:ascii="Courier New" w:hAnsi="Courier New" w:hint="default"/>
      </w:rPr>
    </w:lvl>
    <w:lvl w:ilvl="7">
      <w:start w:val="1"/>
      <w:numFmt w:val="bullet"/>
      <w:lvlText w:val=""/>
      <w:lvlJc w:val="left"/>
      <w:pPr>
        <w:tabs>
          <w:tab w:val="num" w:pos="10001"/>
        </w:tabs>
        <w:ind w:left="10361" w:hanging="360"/>
      </w:pPr>
      <w:rPr>
        <w:rFonts w:ascii="Wingdings" w:hAnsi="Wingdings" w:hint="default"/>
      </w:rPr>
    </w:lvl>
    <w:lvl w:ilvl="8">
      <w:start w:val="1"/>
      <w:numFmt w:val="bullet"/>
      <w:lvlText w:val=""/>
      <w:lvlJc w:val="left"/>
      <w:pPr>
        <w:tabs>
          <w:tab w:val="num" w:pos="10721"/>
        </w:tabs>
        <w:ind w:left="11081" w:hanging="360"/>
      </w:pPr>
      <w:rPr>
        <w:rFonts w:ascii="Wingdings" w:hAnsi="Wingdings" w:hint="default"/>
      </w:rPr>
    </w:lvl>
  </w:abstractNum>
  <w:abstractNum w:abstractNumId="1" w15:restartNumberingAfterBreak="0">
    <w:nsid w:val="03BA18D2"/>
    <w:multiLevelType w:val="hybridMultilevel"/>
    <w:tmpl w:val="190AFC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360ACD"/>
    <w:multiLevelType w:val="multilevel"/>
    <w:tmpl w:val="24182A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4D7173"/>
    <w:multiLevelType w:val="hybridMultilevel"/>
    <w:tmpl w:val="F5D0C48A"/>
    <w:lvl w:ilvl="0" w:tplc="24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4" w15:restartNumberingAfterBreak="0">
    <w:nsid w:val="33895107"/>
    <w:multiLevelType w:val="hybridMultilevel"/>
    <w:tmpl w:val="8F2874A6"/>
    <w:lvl w:ilvl="0" w:tplc="24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5" w15:restartNumberingAfterBreak="0">
    <w:nsid w:val="61831A71"/>
    <w:multiLevelType w:val="hybridMultilevel"/>
    <w:tmpl w:val="2182E7EE"/>
    <w:lvl w:ilvl="0" w:tplc="240A000D">
      <w:start w:val="1"/>
      <w:numFmt w:val="bullet"/>
      <w:lvlText w:val=""/>
      <w:lvlJc w:val="left"/>
      <w:pPr>
        <w:ind w:left="578" w:hanging="360"/>
      </w:pPr>
      <w:rPr>
        <w:rFonts w:ascii="Wingdings" w:hAnsi="Wingdings"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6" w15:restartNumberingAfterBreak="0">
    <w:nsid w:val="7BE13692"/>
    <w:multiLevelType w:val="hybridMultilevel"/>
    <w:tmpl w:val="7DBC2644"/>
    <w:lvl w:ilvl="0" w:tplc="240A000D">
      <w:start w:val="1"/>
      <w:numFmt w:val="bullet"/>
      <w:lvlText w:val=""/>
      <w:lvlJc w:val="left"/>
      <w:pPr>
        <w:ind w:left="578" w:hanging="360"/>
      </w:pPr>
      <w:rPr>
        <w:rFonts w:ascii="Wingdings" w:hAnsi="Wingdings" w:hint="default"/>
      </w:rPr>
    </w:lvl>
    <w:lvl w:ilvl="1" w:tplc="240A0003">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A5"/>
    <w:rsid w:val="000026C0"/>
    <w:rsid w:val="00010B6B"/>
    <w:rsid w:val="000616FC"/>
    <w:rsid w:val="00071927"/>
    <w:rsid w:val="000A6AD4"/>
    <w:rsid w:val="000B1707"/>
    <w:rsid w:val="000C1EC5"/>
    <w:rsid w:val="00106E5E"/>
    <w:rsid w:val="00107C2F"/>
    <w:rsid w:val="00135C06"/>
    <w:rsid w:val="001370A1"/>
    <w:rsid w:val="00153D9E"/>
    <w:rsid w:val="00177F94"/>
    <w:rsid w:val="0018765A"/>
    <w:rsid w:val="001F5B3D"/>
    <w:rsid w:val="00253F5C"/>
    <w:rsid w:val="00283188"/>
    <w:rsid w:val="002A0532"/>
    <w:rsid w:val="002A384B"/>
    <w:rsid w:val="002A74F3"/>
    <w:rsid w:val="002D2168"/>
    <w:rsid w:val="002E44FD"/>
    <w:rsid w:val="002E49F0"/>
    <w:rsid w:val="002E4CAA"/>
    <w:rsid w:val="003046EB"/>
    <w:rsid w:val="00316E6A"/>
    <w:rsid w:val="003248D7"/>
    <w:rsid w:val="00326162"/>
    <w:rsid w:val="003615B0"/>
    <w:rsid w:val="00363386"/>
    <w:rsid w:val="00380B97"/>
    <w:rsid w:val="00392EBD"/>
    <w:rsid w:val="003C5F99"/>
    <w:rsid w:val="003E7C61"/>
    <w:rsid w:val="003F23FF"/>
    <w:rsid w:val="00413475"/>
    <w:rsid w:val="00414868"/>
    <w:rsid w:val="004237BB"/>
    <w:rsid w:val="004335AC"/>
    <w:rsid w:val="00477837"/>
    <w:rsid w:val="00527A3D"/>
    <w:rsid w:val="00540B34"/>
    <w:rsid w:val="005613C4"/>
    <w:rsid w:val="00567E7C"/>
    <w:rsid w:val="0057495D"/>
    <w:rsid w:val="005B524A"/>
    <w:rsid w:val="005F09D5"/>
    <w:rsid w:val="0060586E"/>
    <w:rsid w:val="00607914"/>
    <w:rsid w:val="00617451"/>
    <w:rsid w:val="00644B57"/>
    <w:rsid w:val="00654113"/>
    <w:rsid w:val="00674954"/>
    <w:rsid w:val="00697647"/>
    <w:rsid w:val="0073610F"/>
    <w:rsid w:val="007612CC"/>
    <w:rsid w:val="007D1771"/>
    <w:rsid w:val="007D2B56"/>
    <w:rsid w:val="007E50D0"/>
    <w:rsid w:val="007E63AB"/>
    <w:rsid w:val="007F0254"/>
    <w:rsid w:val="00835FC8"/>
    <w:rsid w:val="00844E71"/>
    <w:rsid w:val="008875B6"/>
    <w:rsid w:val="00891F9A"/>
    <w:rsid w:val="008A139A"/>
    <w:rsid w:val="008A671C"/>
    <w:rsid w:val="008A7C43"/>
    <w:rsid w:val="00930DAA"/>
    <w:rsid w:val="00940EFA"/>
    <w:rsid w:val="00944229"/>
    <w:rsid w:val="00954311"/>
    <w:rsid w:val="0097067A"/>
    <w:rsid w:val="00972111"/>
    <w:rsid w:val="009D42C5"/>
    <w:rsid w:val="009F3DEA"/>
    <w:rsid w:val="009F547C"/>
    <w:rsid w:val="00A117D4"/>
    <w:rsid w:val="00A3779A"/>
    <w:rsid w:val="00A4578A"/>
    <w:rsid w:val="00A51728"/>
    <w:rsid w:val="00A54853"/>
    <w:rsid w:val="00A716C3"/>
    <w:rsid w:val="00A84B4C"/>
    <w:rsid w:val="00AA1031"/>
    <w:rsid w:val="00AA528E"/>
    <w:rsid w:val="00AB6725"/>
    <w:rsid w:val="00AC3450"/>
    <w:rsid w:val="00AD59A5"/>
    <w:rsid w:val="00AE1FB3"/>
    <w:rsid w:val="00B1300C"/>
    <w:rsid w:val="00B53D21"/>
    <w:rsid w:val="00B64E34"/>
    <w:rsid w:val="00B732CB"/>
    <w:rsid w:val="00BA094A"/>
    <w:rsid w:val="00BB1EA5"/>
    <w:rsid w:val="00BC3164"/>
    <w:rsid w:val="00BD2F7C"/>
    <w:rsid w:val="00BE0E7D"/>
    <w:rsid w:val="00C03C40"/>
    <w:rsid w:val="00C40BB7"/>
    <w:rsid w:val="00C6711A"/>
    <w:rsid w:val="00C80F09"/>
    <w:rsid w:val="00C92034"/>
    <w:rsid w:val="00C93A80"/>
    <w:rsid w:val="00C96FEA"/>
    <w:rsid w:val="00CB2230"/>
    <w:rsid w:val="00D07A54"/>
    <w:rsid w:val="00D205F5"/>
    <w:rsid w:val="00D3127B"/>
    <w:rsid w:val="00D47B79"/>
    <w:rsid w:val="00D5083F"/>
    <w:rsid w:val="00DA315A"/>
    <w:rsid w:val="00DB56A2"/>
    <w:rsid w:val="00DD2D47"/>
    <w:rsid w:val="00DF4B5C"/>
    <w:rsid w:val="00E6655D"/>
    <w:rsid w:val="00E90B2B"/>
    <w:rsid w:val="00EA4A24"/>
    <w:rsid w:val="00EA64BD"/>
    <w:rsid w:val="00EA66AC"/>
    <w:rsid w:val="00EC7E4F"/>
    <w:rsid w:val="00ED24AB"/>
    <w:rsid w:val="00ED2AA7"/>
    <w:rsid w:val="00F075DA"/>
    <w:rsid w:val="00F316E4"/>
    <w:rsid w:val="00F31B5D"/>
    <w:rsid w:val="00F43DB8"/>
    <w:rsid w:val="00F66307"/>
    <w:rsid w:val="00F76B16"/>
    <w:rsid w:val="00F8148B"/>
    <w:rsid w:val="00FA4118"/>
    <w:rsid w:val="00FC06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7CE6"/>
  <w15:chartTrackingRefBased/>
  <w15:docId w15:val="{53D33A53-F359-40E5-A44A-2299DA94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S"/>
    </w:rPr>
  </w:style>
  <w:style w:type="paragraph" w:styleId="Ttulo1">
    <w:name w:val="heading 1"/>
    <w:basedOn w:val="Normal"/>
    <w:next w:val="Normal"/>
    <w:link w:val="Ttulo1Car"/>
    <w:uiPriority w:val="9"/>
    <w:qFormat/>
    <w:rsid w:val="00BB1EA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C671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B1E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BB1EA5"/>
    <w:pPr>
      <w:spacing w:after="0" w:line="240" w:lineRule="auto"/>
      <w:ind w:left="720"/>
      <w:contextualSpacing/>
    </w:pPr>
    <w:rPr>
      <w:rFonts w:eastAsiaTheme="minorEastAsia"/>
      <w:sz w:val="24"/>
      <w:szCs w:val="24"/>
      <w:lang w:val="es-ES_tradnl" w:eastAsia="es-ES"/>
    </w:rPr>
  </w:style>
  <w:style w:type="character" w:customStyle="1" w:styleId="Ttulo1Car">
    <w:name w:val="Título 1 Car"/>
    <w:basedOn w:val="Fuentedeprrafopredeter"/>
    <w:link w:val="Ttulo1"/>
    <w:uiPriority w:val="9"/>
    <w:rsid w:val="00BB1EA5"/>
    <w:rPr>
      <w:rFonts w:asciiTheme="majorHAnsi" w:eastAsiaTheme="majorEastAsia" w:hAnsiTheme="majorHAnsi" w:cstheme="majorBidi"/>
      <w:color w:val="2E74B5" w:themeColor="accent1" w:themeShade="BF"/>
      <w:sz w:val="32"/>
      <w:szCs w:val="32"/>
      <w:lang w:val="es-ES_tradnl" w:eastAsia="es-ES"/>
    </w:rPr>
  </w:style>
  <w:style w:type="table" w:styleId="Tablaconcuadrcula">
    <w:name w:val="Table Grid"/>
    <w:basedOn w:val="Tablanormal"/>
    <w:uiPriority w:val="99"/>
    <w:rsid w:val="00BB1EA5"/>
    <w:pPr>
      <w:spacing w:after="0" w:line="240" w:lineRule="auto"/>
    </w:pPr>
    <w:rPr>
      <w:rFonts w:ascii="Calibri" w:eastAsia="Times New Roman"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1E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EA5"/>
    <w:rPr>
      <w:rFonts w:ascii="Segoe UI" w:hAnsi="Segoe UI" w:cs="Segoe UI"/>
      <w:sz w:val="18"/>
      <w:szCs w:val="18"/>
      <w:lang w:val="es-US"/>
    </w:rPr>
  </w:style>
  <w:style w:type="paragraph" w:styleId="Textoindependiente">
    <w:name w:val="Body Text"/>
    <w:basedOn w:val="Normal"/>
    <w:link w:val="TextoindependienteCar"/>
    <w:uiPriority w:val="99"/>
    <w:unhideWhenUsed/>
    <w:rsid w:val="00BB1EA5"/>
    <w:pPr>
      <w:spacing w:after="120" w:line="288" w:lineRule="auto"/>
    </w:pPr>
    <w:rPr>
      <w:rFonts w:eastAsiaTheme="minorEastAsia"/>
      <w:color w:val="404040" w:themeColor="text1" w:themeTint="BF"/>
      <w:sz w:val="24"/>
      <w:szCs w:val="24"/>
      <w:lang w:val="es-ES_tradnl" w:eastAsia="es-ES"/>
    </w:rPr>
  </w:style>
  <w:style w:type="character" w:customStyle="1" w:styleId="TextoindependienteCar">
    <w:name w:val="Texto independiente Car"/>
    <w:basedOn w:val="Fuentedeprrafopredeter"/>
    <w:link w:val="Textoindependiente"/>
    <w:uiPriority w:val="99"/>
    <w:rsid w:val="00BB1EA5"/>
    <w:rPr>
      <w:rFonts w:eastAsiaTheme="minorEastAsia"/>
      <w:color w:val="404040" w:themeColor="text1" w:themeTint="BF"/>
      <w:sz w:val="24"/>
      <w:szCs w:val="24"/>
      <w:lang w:val="es-ES_tradnl" w:eastAsia="es-ES"/>
    </w:rPr>
  </w:style>
  <w:style w:type="character" w:customStyle="1" w:styleId="Ttulo3Car">
    <w:name w:val="Título 3 Car"/>
    <w:basedOn w:val="Fuentedeprrafopredeter"/>
    <w:link w:val="Ttulo3"/>
    <w:uiPriority w:val="9"/>
    <w:semiHidden/>
    <w:rsid w:val="00BB1EA5"/>
    <w:rPr>
      <w:rFonts w:asciiTheme="majorHAnsi" w:eastAsiaTheme="majorEastAsia" w:hAnsiTheme="majorHAnsi" w:cstheme="majorBidi"/>
      <w:color w:val="1F4D78" w:themeColor="accent1" w:themeShade="7F"/>
      <w:sz w:val="24"/>
      <w:szCs w:val="24"/>
      <w:lang w:val="es-US"/>
    </w:rPr>
  </w:style>
  <w:style w:type="character" w:customStyle="1" w:styleId="Ttulo2Car">
    <w:name w:val="Título 2 Car"/>
    <w:basedOn w:val="Fuentedeprrafopredeter"/>
    <w:link w:val="Ttulo2"/>
    <w:uiPriority w:val="9"/>
    <w:rsid w:val="00C6711A"/>
    <w:rPr>
      <w:rFonts w:asciiTheme="majorHAnsi" w:eastAsiaTheme="majorEastAsia" w:hAnsiTheme="majorHAnsi" w:cstheme="majorBidi"/>
      <w:color w:val="2E74B5" w:themeColor="accent1" w:themeShade="BF"/>
      <w:sz w:val="26"/>
      <w:szCs w:val="26"/>
      <w:lang w:val="es-US"/>
    </w:rPr>
  </w:style>
  <w:style w:type="paragraph" w:styleId="Encabezado">
    <w:name w:val="header"/>
    <w:basedOn w:val="Normal"/>
    <w:link w:val="EncabezadoCar"/>
    <w:uiPriority w:val="99"/>
    <w:unhideWhenUsed/>
    <w:rsid w:val="00C671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11A"/>
    <w:rPr>
      <w:lang w:val="es-US"/>
    </w:rPr>
  </w:style>
  <w:style w:type="paragraph" w:styleId="Piedepgina">
    <w:name w:val="footer"/>
    <w:basedOn w:val="Normal"/>
    <w:link w:val="PiedepginaCar"/>
    <w:uiPriority w:val="99"/>
    <w:unhideWhenUsed/>
    <w:rsid w:val="00C671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11A"/>
    <w:rPr>
      <w:lang w:val="es-US"/>
    </w:rPr>
  </w:style>
  <w:style w:type="paragraph" w:styleId="TtulodeTDC">
    <w:name w:val="TOC Heading"/>
    <w:basedOn w:val="Ttulo1"/>
    <w:next w:val="Normal"/>
    <w:uiPriority w:val="39"/>
    <w:unhideWhenUsed/>
    <w:qFormat/>
    <w:rsid w:val="00135C06"/>
    <w:pPr>
      <w:spacing w:line="259" w:lineRule="auto"/>
      <w:outlineLvl w:val="9"/>
    </w:pPr>
    <w:rPr>
      <w:lang w:val="es-CO" w:eastAsia="es-CO"/>
    </w:rPr>
  </w:style>
  <w:style w:type="paragraph" w:styleId="TDC1">
    <w:name w:val="toc 1"/>
    <w:basedOn w:val="Normal"/>
    <w:next w:val="Normal"/>
    <w:autoRedefine/>
    <w:uiPriority w:val="39"/>
    <w:unhideWhenUsed/>
    <w:rsid w:val="00135C06"/>
    <w:pPr>
      <w:spacing w:after="100"/>
    </w:pPr>
  </w:style>
  <w:style w:type="paragraph" w:styleId="TDC2">
    <w:name w:val="toc 2"/>
    <w:basedOn w:val="Normal"/>
    <w:next w:val="Normal"/>
    <w:autoRedefine/>
    <w:uiPriority w:val="39"/>
    <w:unhideWhenUsed/>
    <w:rsid w:val="00135C06"/>
    <w:pPr>
      <w:spacing w:after="100"/>
      <w:ind w:left="220"/>
    </w:pPr>
  </w:style>
  <w:style w:type="character" w:styleId="Hipervnculo">
    <w:name w:val="Hyperlink"/>
    <w:basedOn w:val="Fuentedeprrafopredeter"/>
    <w:uiPriority w:val="99"/>
    <w:unhideWhenUsed/>
    <w:rsid w:val="00135C06"/>
    <w:rPr>
      <w:color w:val="0563C1" w:themeColor="hyperlink"/>
      <w:u w:val="single"/>
    </w:rPr>
  </w:style>
  <w:style w:type="paragraph" w:styleId="Sinespaciado">
    <w:name w:val="No Spacing"/>
    <w:link w:val="SinespaciadoCar"/>
    <w:uiPriority w:val="1"/>
    <w:qFormat/>
    <w:rsid w:val="00135C06"/>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135C06"/>
    <w:rPr>
      <w:rFonts w:eastAsiaTheme="minorEastAsia"/>
      <w:lang w:eastAsia="es-CO"/>
    </w:rPr>
  </w:style>
  <w:style w:type="character" w:styleId="Refdecomentario">
    <w:name w:val="annotation reference"/>
    <w:basedOn w:val="Fuentedeprrafopredeter"/>
    <w:uiPriority w:val="99"/>
    <w:semiHidden/>
    <w:unhideWhenUsed/>
    <w:rsid w:val="00EC7E4F"/>
    <w:rPr>
      <w:sz w:val="16"/>
      <w:szCs w:val="16"/>
    </w:rPr>
  </w:style>
  <w:style w:type="paragraph" w:styleId="Textocomentario">
    <w:name w:val="annotation text"/>
    <w:basedOn w:val="Normal"/>
    <w:link w:val="TextocomentarioCar"/>
    <w:uiPriority w:val="99"/>
    <w:semiHidden/>
    <w:unhideWhenUsed/>
    <w:rsid w:val="00EC7E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7E4F"/>
    <w:rPr>
      <w:sz w:val="20"/>
      <w:szCs w:val="20"/>
      <w:lang w:val="es-US"/>
    </w:rPr>
  </w:style>
  <w:style w:type="paragraph" w:styleId="Asuntodelcomentario">
    <w:name w:val="annotation subject"/>
    <w:basedOn w:val="Textocomentario"/>
    <w:next w:val="Textocomentario"/>
    <w:link w:val="AsuntodelcomentarioCar"/>
    <w:uiPriority w:val="99"/>
    <w:semiHidden/>
    <w:unhideWhenUsed/>
    <w:rsid w:val="00EC7E4F"/>
    <w:rPr>
      <w:b/>
      <w:bCs/>
    </w:rPr>
  </w:style>
  <w:style w:type="character" w:customStyle="1" w:styleId="AsuntodelcomentarioCar">
    <w:name w:val="Asunto del comentario Car"/>
    <w:basedOn w:val="TextocomentarioCar"/>
    <w:link w:val="Asuntodelcomentario"/>
    <w:uiPriority w:val="99"/>
    <w:semiHidden/>
    <w:rsid w:val="00EC7E4F"/>
    <w:rPr>
      <w:b/>
      <w:bCs/>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7165">
      <w:bodyDiv w:val="1"/>
      <w:marLeft w:val="0"/>
      <w:marRight w:val="0"/>
      <w:marTop w:val="0"/>
      <w:marBottom w:val="0"/>
      <w:divBdr>
        <w:top w:val="none" w:sz="0" w:space="0" w:color="auto"/>
        <w:left w:val="none" w:sz="0" w:space="0" w:color="auto"/>
        <w:bottom w:val="none" w:sz="0" w:space="0" w:color="auto"/>
        <w:right w:val="none" w:sz="0" w:space="0" w:color="auto"/>
      </w:divBdr>
    </w:div>
    <w:div w:id="139735494">
      <w:bodyDiv w:val="1"/>
      <w:marLeft w:val="0"/>
      <w:marRight w:val="0"/>
      <w:marTop w:val="0"/>
      <w:marBottom w:val="0"/>
      <w:divBdr>
        <w:top w:val="none" w:sz="0" w:space="0" w:color="auto"/>
        <w:left w:val="none" w:sz="0" w:space="0" w:color="auto"/>
        <w:bottom w:val="none" w:sz="0" w:space="0" w:color="auto"/>
        <w:right w:val="none" w:sz="0" w:space="0" w:color="auto"/>
      </w:divBdr>
    </w:div>
    <w:div w:id="154272169">
      <w:bodyDiv w:val="1"/>
      <w:marLeft w:val="0"/>
      <w:marRight w:val="0"/>
      <w:marTop w:val="0"/>
      <w:marBottom w:val="0"/>
      <w:divBdr>
        <w:top w:val="none" w:sz="0" w:space="0" w:color="auto"/>
        <w:left w:val="none" w:sz="0" w:space="0" w:color="auto"/>
        <w:bottom w:val="none" w:sz="0" w:space="0" w:color="auto"/>
        <w:right w:val="none" w:sz="0" w:space="0" w:color="auto"/>
      </w:divBdr>
    </w:div>
    <w:div w:id="279382952">
      <w:bodyDiv w:val="1"/>
      <w:marLeft w:val="0"/>
      <w:marRight w:val="0"/>
      <w:marTop w:val="0"/>
      <w:marBottom w:val="0"/>
      <w:divBdr>
        <w:top w:val="none" w:sz="0" w:space="0" w:color="auto"/>
        <w:left w:val="none" w:sz="0" w:space="0" w:color="auto"/>
        <w:bottom w:val="none" w:sz="0" w:space="0" w:color="auto"/>
        <w:right w:val="none" w:sz="0" w:space="0" w:color="auto"/>
      </w:divBdr>
    </w:div>
    <w:div w:id="346712661">
      <w:bodyDiv w:val="1"/>
      <w:marLeft w:val="0"/>
      <w:marRight w:val="0"/>
      <w:marTop w:val="0"/>
      <w:marBottom w:val="0"/>
      <w:divBdr>
        <w:top w:val="none" w:sz="0" w:space="0" w:color="auto"/>
        <w:left w:val="none" w:sz="0" w:space="0" w:color="auto"/>
        <w:bottom w:val="none" w:sz="0" w:space="0" w:color="auto"/>
        <w:right w:val="none" w:sz="0" w:space="0" w:color="auto"/>
      </w:divBdr>
    </w:div>
    <w:div w:id="376468960">
      <w:bodyDiv w:val="1"/>
      <w:marLeft w:val="0"/>
      <w:marRight w:val="0"/>
      <w:marTop w:val="0"/>
      <w:marBottom w:val="0"/>
      <w:divBdr>
        <w:top w:val="none" w:sz="0" w:space="0" w:color="auto"/>
        <w:left w:val="none" w:sz="0" w:space="0" w:color="auto"/>
        <w:bottom w:val="none" w:sz="0" w:space="0" w:color="auto"/>
        <w:right w:val="none" w:sz="0" w:space="0" w:color="auto"/>
      </w:divBdr>
    </w:div>
    <w:div w:id="390082515">
      <w:bodyDiv w:val="1"/>
      <w:marLeft w:val="0"/>
      <w:marRight w:val="0"/>
      <w:marTop w:val="0"/>
      <w:marBottom w:val="0"/>
      <w:divBdr>
        <w:top w:val="none" w:sz="0" w:space="0" w:color="auto"/>
        <w:left w:val="none" w:sz="0" w:space="0" w:color="auto"/>
        <w:bottom w:val="none" w:sz="0" w:space="0" w:color="auto"/>
        <w:right w:val="none" w:sz="0" w:space="0" w:color="auto"/>
      </w:divBdr>
    </w:div>
    <w:div w:id="398669467">
      <w:bodyDiv w:val="1"/>
      <w:marLeft w:val="0"/>
      <w:marRight w:val="0"/>
      <w:marTop w:val="0"/>
      <w:marBottom w:val="0"/>
      <w:divBdr>
        <w:top w:val="none" w:sz="0" w:space="0" w:color="auto"/>
        <w:left w:val="none" w:sz="0" w:space="0" w:color="auto"/>
        <w:bottom w:val="none" w:sz="0" w:space="0" w:color="auto"/>
        <w:right w:val="none" w:sz="0" w:space="0" w:color="auto"/>
      </w:divBdr>
    </w:div>
    <w:div w:id="403187985">
      <w:bodyDiv w:val="1"/>
      <w:marLeft w:val="0"/>
      <w:marRight w:val="0"/>
      <w:marTop w:val="0"/>
      <w:marBottom w:val="0"/>
      <w:divBdr>
        <w:top w:val="none" w:sz="0" w:space="0" w:color="auto"/>
        <w:left w:val="none" w:sz="0" w:space="0" w:color="auto"/>
        <w:bottom w:val="none" w:sz="0" w:space="0" w:color="auto"/>
        <w:right w:val="none" w:sz="0" w:space="0" w:color="auto"/>
      </w:divBdr>
    </w:div>
    <w:div w:id="478889363">
      <w:bodyDiv w:val="1"/>
      <w:marLeft w:val="0"/>
      <w:marRight w:val="0"/>
      <w:marTop w:val="0"/>
      <w:marBottom w:val="0"/>
      <w:divBdr>
        <w:top w:val="none" w:sz="0" w:space="0" w:color="auto"/>
        <w:left w:val="none" w:sz="0" w:space="0" w:color="auto"/>
        <w:bottom w:val="none" w:sz="0" w:space="0" w:color="auto"/>
        <w:right w:val="none" w:sz="0" w:space="0" w:color="auto"/>
      </w:divBdr>
    </w:div>
    <w:div w:id="589971907">
      <w:bodyDiv w:val="1"/>
      <w:marLeft w:val="0"/>
      <w:marRight w:val="0"/>
      <w:marTop w:val="0"/>
      <w:marBottom w:val="0"/>
      <w:divBdr>
        <w:top w:val="none" w:sz="0" w:space="0" w:color="auto"/>
        <w:left w:val="none" w:sz="0" w:space="0" w:color="auto"/>
        <w:bottom w:val="none" w:sz="0" w:space="0" w:color="auto"/>
        <w:right w:val="none" w:sz="0" w:space="0" w:color="auto"/>
      </w:divBdr>
    </w:div>
    <w:div w:id="600914936">
      <w:bodyDiv w:val="1"/>
      <w:marLeft w:val="0"/>
      <w:marRight w:val="0"/>
      <w:marTop w:val="0"/>
      <w:marBottom w:val="0"/>
      <w:divBdr>
        <w:top w:val="none" w:sz="0" w:space="0" w:color="auto"/>
        <w:left w:val="none" w:sz="0" w:space="0" w:color="auto"/>
        <w:bottom w:val="none" w:sz="0" w:space="0" w:color="auto"/>
        <w:right w:val="none" w:sz="0" w:space="0" w:color="auto"/>
      </w:divBdr>
    </w:div>
    <w:div w:id="606354614">
      <w:bodyDiv w:val="1"/>
      <w:marLeft w:val="0"/>
      <w:marRight w:val="0"/>
      <w:marTop w:val="0"/>
      <w:marBottom w:val="0"/>
      <w:divBdr>
        <w:top w:val="none" w:sz="0" w:space="0" w:color="auto"/>
        <w:left w:val="none" w:sz="0" w:space="0" w:color="auto"/>
        <w:bottom w:val="none" w:sz="0" w:space="0" w:color="auto"/>
        <w:right w:val="none" w:sz="0" w:space="0" w:color="auto"/>
      </w:divBdr>
    </w:div>
    <w:div w:id="670765849">
      <w:bodyDiv w:val="1"/>
      <w:marLeft w:val="0"/>
      <w:marRight w:val="0"/>
      <w:marTop w:val="0"/>
      <w:marBottom w:val="0"/>
      <w:divBdr>
        <w:top w:val="none" w:sz="0" w:space="0" w:color="auto"/>
        <w:left w:val="none" w:sz="0" w:space="0" w:color="auto"/>
        <w:bottom w:val="none" w:sz="0" w:space="0" w:color="auto"/>
        <w:right w:val="none" w:sz="0" w:space="0" w:color="auto"/>
      </w:divBdr>
    </w:div>
    <w:div w:id="675812254">
      <w:bodyDiv w:val="1"/>
      <w:marLeft w:val="0"/>
      <w:marRight w:val="0"/>
      <w:marTop w:val="0"/>
      <w:marBottom w:val="0"/>
      <w:divBdr>
        <w:top w:val="none" w:sz="0" w:space="0" w:color="auto"/>
        <w:left w:val="none" w:sz="0" w:space="0" w:color="auto"/>
        <w:bottom w:val="none" w:sz="0" w:space="0" w:color="auto"/>
        <w:right w:val="none" w:sz="0" w:space="0" w:color="auto"/>
      </w:divBdr>
    </w:div>
    <w:div w:id="805708934">
      <w:bodyDiv w:val="1"/>
      <w:marLeft w:val="0"/>
      <w:marRight w:val="0"/>
      <w:marTop w:val="0"/>
      <w:marBottom w:val="0"/>
      <w:divBdr>
        <w:top w:val="none" w:sz="0" w:space="0" w:color="auto"/>
        <w:left w:val="none" w:sz="0" w:space="0" w:color="auto"/>
        <w:bottom w:val="none" w:sz="0" w:space="0" w:color="auto"/>
        <w:right w:val="none" w:sz="0" w:space="0" w:color="auto"/>
      </w:divBdr>
    </w:div>
    <w:div w:id="862860541">
      <w:bodyDiv w:val="1"/>
      <w:marLeft w:val="0"/>
      <w:marRight w:val="0"/>
      <w:marTop w:val="0"/>
      <w:marBottom w:val="0"/>
      <w:divBdr>
        <w:top w:val="none" w:sz="0" w:space="0" w:color="auto"/>
        <w:left w:val="none" w:sz="0" w:space="0" w:color="auto"/>
        <w:bottom w:val="none" w:sz="0" w:space="0" w:color="auto"/>
        <w:right w:val="none" w:sz="0" w:space="0" w:color="auto"/>
      </w:divBdr>
    </w:div>
    <w:div w:id="865601452">
      <w:bodyDiv w:val="1"/>
      <w:marLeft w:val="0"/>
      <w:marRight w:val="0"/>
      <w:marTop w:val="0"/>
      <w:marBottom w:val="0"/>
      <w:divBdr>
        <w:top w:val="none" w:sz="0" w:space="0" w:color="auto"/>
        <w:left w:val="none" w:sz="0" w:space="0" w:color="auto"/>
        <w:bottom w:val="none" w:sz="0" w:space="0" w:color="auto"/>
        <w:right w:val="none" w:sz="0" w:space="0" w:color="auto"/>
      </w:divBdr>
    </w:div>
    <w:div w:id="868838443">
      <w:bodyDiv w:val="1"/>
      <w:marLeft w:val="0"/>
      <w:marRight w:val="0"/>
      <w:marTop w:val="0"/>
      <w:marBottom w:val="0"/>
      <w:divBdr>
        <w:top w:val="none" w:sz="0" w:space="0" w:color="auto"/>
        <w:left w:val="none" w:sz="0" w:space="0" w:color="auto"/>
        <w:bottom w:val="none" w:sz="0" w:space="0" w:color="auto"/>
        <w:right w:val="none" w:sz="0" w:space="0" w:color="auto"/>
      </w:divBdr>
    </w:div>
    <w:div w:id="891384436">
      <w:bodyDiv w:val="1"/>
      <w:marLeft w:val="0"/>
      <w:marRight w:val="0"/>
      <w:marTop w:val="0"/>
      <w:marBottom w:val="0"/>
      <w:divBdr>
        <w:top w:val="none" w:sz="0" w:space="0" w:color="auto"/>
        <w:left w:val="none" w:sz="0" w:space="0" w:color="auto"/>
        <w:bottom w:val="none" w:sz="0" w:space="0" w:color="auto"/>
        <w:right w:val="none" w:sz="0" w:space="0" w:color="auto"/>
      </w:divBdr>
    </w:div>
    <w:div w:id="970133657">
      <w:bodyDiv w:val="1"/>
      <w:marLeft w:val="0"/>
      <w:marRight w:val="0"/>
      <w:marTop w:val="0"/>
      <w:marBottom w:val="0"/>
      <w:divBdr>
        <w:top w:val="none" w:sz="0" w:space="0" w:color="auto"/>
        <w:left w:val="none" w:sz="0" w:space="0" w:color="auto"/>
        <w:bottom w:val="none" w:sz="0" w:space="0" w:color="auto"/>
        <w:right w:val="none" w:sz="0" w:space="0" w:color="auto"/>
      </w:divBdr>
    </w:div>
    <w:div w:id="1004280423">
      <w:bodyDiv w:val="1"/>
      <w:marLeft w:val="0"/>
      <w:marRight w:val="0"/>
      <w:marTop w:val="0"/>
      <w:marBottom w:val="0"/>
      <w:divBdr>
        <w:top w:val="none" w:sz="0" w:space="0" w:color="auto"/>
        <w:left w:val="none" w:sz="0" w:space="0" w:color="auto"/>
        <w:bottom w:val="none" w:sz="0" w:space="0" w:color="auto"/>
        <w:right w:val="none" w:sz="0" w:space="0" w:color="auto"/>
      </w:divBdr>
    </w:div>
    <w:div w:id="1007708269">
      <w:bodyDiv w:val="1"/>
      <w:marLeft w:val="0"/>
      <w:marRight w:val="0"/>
      <w:marTop w:val="0"/>
      <w:marBottom w:val="0"/>
      <w:divBdr>
        <w:top w:val="none" w:sz="0" w:space="0" w:color="auto"/>
        <w:left w:val="none" w:sz="0" w:space="0" w:color="auto"/>
        <w:bottom w:val="none" w:sz="0" w:space="0" w:color="auto"/>
        <w:right w:val="none" w:sz="0" w:space="0" w:color="auto"/>
      </w:divBdr>
    </w:div>
    <w:div w:id="1032848387">
      <w:bodyDiv w:val="1"/>
      <w:marLeft w:val="0"/>
      <w:marRight w:val="0"/>
      <w:marTop w:val="0"/>
      <w:marBottom w:val="0"/>
      <w:divBdr>
        <w:top w:val="none" w:sz="0" w:space="0" w:color="auto"/>
        <w:left w:val="none" w:sz="0" w:space="0" w:color="auto"/>
        <w:bottom w:val="none" w:sz="0" w:space="0" w:color="auto"/>
        <w:right w:val="none" w:sz="0" w:space="0" w:color="auto"/>
      </w:divBdr>
    </w:div>
    <w:div w:id="1046680206">
      <w:bodyDiv w:val="1"/>
      <w:marLeft w:val="0"/>
      <w:marRight w:val="0"/>
      <w:marTop w:val="0"/>
      <w:marBottom w:val="0"/>
      <w:divBdr>
        <w:top w:val="none" w:sz="0" w:space="0" w:color="auto"/>
        <w:left w:val="none" w:sz="0" w:space="0" w:color="auto"/>
        <w:bottom w:val="none" w:sz="0" w:space="0" w:color="auto"/>
        <w:right w:val="none" w:sz="0" w:space="0" w:color="auto"/>
      </w:divBdr>
    </w:div>
    <w:div w:id="1204564904">
      <w:bodyDiv w:val="1"/>
      <w:marLeft w:val="0"/>
      <w:marRight w:val="0"/>
      <w:marTop w:val="0"/>
      <w:marBottom w:val="0"/>
      <w:divBdr>
        <w:top w:val="none" w:sz="0" w:space="0" w:color="auto"/>
        <w:left w:val="none" w:sz="0" w:space="0" w:color="auto"/>
        <w:bottom w:val="none" w:sz="0" w:space="0" w:color="auto"/>
        <w:right w:val="none" w:sz="0" w:space="0" w:color="auto"/>
      </w:divBdr>
    </w:div>
    <w:div w:id="1233081834">
      <w:bodyDiv w:val="1"/>
      <w:marLeft w:val="0"/>
      <w:marRight w:val="0"/>
      <w:marTop w:val="0"/>
      <w:marBottom w:val="0"/>
      <w:divBdr>
        <w:top w:val="none" w:sz="0" w:space="0" w:color="auto"/>
        <w:left w:val="none" w:sz="0" w:space="0" w:color="auto"/>
        <w:bottom w:val="none" w:sz="0" w:space="0" w:color="auto"/>
        <w:right w:val="none" w:sz="0" w:space="0" w:color="auto"/>
      </w:divBdr>
    </w:div>
    <w:div w:id="1293245814">
      <w:bodyDiv w:val="1"/>
      <w:marLeft w:val="0"/>
      <w:marRight w:val="0"/>
      <w:marTop w:val="0"/>
      <w:marBottom w:val="0"/>
      <w:divBdr>
        <w:top w:val="none" w:sz="0" w:space="0" w:color="auto"/>
        <w:left w:val="none" w:sz="0" w:space="0" w:color="auto"/>
        <w:bottom w:val="none" w:sz="0" w:space="0" w:color="auto"/>
        <w:right w:val="none" w:sz="0" w:space="0" w:color="auto"/>
      </w:divBdr>
    </w:div>
    <w:div w:id="1339118731">
      <w:bodyDiv w:val="1"/>
      <w:marLeft w:val="0"/>
      <w:marRight w:val="0"/>
      <w:marTop w:val="0"/>
      <w:marBottom w:val="0"/>
      <w:divBdr>
        <w:top w:val="none" w:sz="0" w:space="0" w:color="auto"/>
        <w:left w:val="none" w:sz="0" w:space="0" w:color="auto"/>
        <w:bottom w:val="none" w:sz="0" w:space="0" w:color="auto"/>
        <w:right w:val="none" w:sz="0" w:space="0" w:color="auto"/>
      </w:divBdr>
    </w:div>
    <w:div w:id="1363557698">
      <w:bodyDiv w:val="1"/>
      <w:marLeft w:val="0"/>
      <w:marRight w:val="0"/>
      <w:marTop w:val="0"/>
      <w:marBottom w:val="0"/>
      <w:divBdr>
        <w:top w:val="none" w:sz="0" w:space="0" w:color="auto"/>
        <w:left w:val="none" w:sz="0" w:space="0" w:color="auto"/>
        <w:bottom w:val="none" w:sz="0" w:space="0" w:color="auto"/>
        <w:right w:val="none" w:sz="0" w:space="0" w:color="auto"/>
      </w:divBdr>
    </w:div>
    <w:div w:id="1379861051">
      <w:bodyDiv w:val="1"/>
      <w:marLeft w:val="0"/>
      <w:marRight w:val="0"/>
      <w:marTop w:val="0"/>
      <w:marBottom w:val="0"/>
      <w:divBdr>
        <w:top w:val="none" w:sz="0" w:space="0" w:color="auto"/>
        <w:left w:val="none" w:sz="0" w:space="0" w:color="auto"/>
        <w:bottom w:val="none" w:sz="0" w:space="0" w:color="auto"/>
        <w:right w:val="none" w:sz="0" w:space="0" w:color="auto"/>
      </w:divBdr>
    </w:div>
    <w:div w:id="1410422322">
      <w:bodyDiv w:val="1"/>
      <w:marLeft w:val="0"/>
      <w:marRight w:val="0"/>
      <w:marTop w:val="0"/>
      <w:marBottom w:val="0"/>
      <w:divBdr>
        <w:top w:val="none" w:sz="0" w:space="0" w:color="auto"/>
        <w:left w:val="none" w:sz="0" w:space="0" w:color="auto"/>
        <w:bottom w:val="none" w:sz="0" w:space="0" w:color="auto"/>
        <w:right w:val="none" w:sz="0" w:space="0" w:color="auto"/>
      </w:divBdr>
    </w:div>
    <w:div w:id="1550918415">
      <w:bodyDiv w:val="1"/>
      <w:marLeft w:val="0"/>
      <w:marRight w:val="0"/>
      <w:marTop w:val="0"/>
      <w:marBottom w:val="0"/>
      <w:divBdr>
        <w:top w:val="none" w:sz="0" w:space="0" w:color="auto"/>
        <w:left w:val="none" w:sz="0" w:space="0" w:color="auto"/>
        <w:bottom w:val="none" w:sz="0" w:space="0" w:color="auto"/>
        <w:right w:val="none" w:sz="0" w:space="0" w:color="auto"/>
      </w:divBdr>
    </w:div>
    <w:div w:id="1618677268">
      <w:bodyDiv w:val="1"/>
      <w:marLeft w:val="0"/>
      <w:marRight w:val="0"/>
      <w:marTop w:val="0"/>
      <w:marBottom w:val="0"/>
      <w:divBdr>
        <w:top w:val="none" w:sz="0" w:space="0" w:color="auto"/>
        <w:left w:val="none" w:sz="0" w:space="0" w:color="auto"/>
        <w:bottom w:val="none" w:sz="0" w:space="0" w:color="auto"/>
        <w:right w:val="none" w:sz="0" w:space="0" w:color="auto"/>
      </w:divBdr>
    </w:div>
    <w:div w:id="1633635021">
      <w:bodyDiv w:val="1"/>
      <w:marLeft w:val="0"/>
      <w:marRight w:val="0"/>
      <w:marTop w:val="0"/>
      <w:marBottom w:val="0"/>
      <w:divBdr>
        <w:top w:val="none" w:sz="0" w:space="0" w:color="auto"/>
        <w:left w:val="none" w:sz="0" w:space="0" w:color="auto"/>
        <w:bottom w:val="none" w:sz="0" w:space="0" w:color="auto"/>
        <w:right w:val="none" w:sz="0" w:space="0" w:color="auto"/>
      </w:divBdr>
    </w:div>
    <w:div w:id="1683584207">
      <w:bodyDiv w:val="1"/>
      <w:marLeft w:val="0"/>
      <w:marRight w:val="0"/>
      <w:marTop w:val="0"/>
      <w:marBottom w:val="0"/>
      <w:divBdr>
        <w:top w:val="none" w:sz="0" w:space="0" w:color="auto"/>
        <w:left w:val="none" w:sz="0" w:space="0" w:color="auto"/>
        <w:bottom w:val="none" w:sz="0" w:space="0" w:color="auto"/>
        <w:right w:val="none" w:sz="0" w:space="0" w:color="auto"/>
      </w:divBdr>
    </w:div>
    <w:div w:id="1709527874">
      <w:bodyDiv w:val="1"/>
      <w:marLeft w:val="0"/>
      <w:marRight w:val="0"/>
      <w:marTop w:val="0"/>
      <w:marBottom w:val="0"/>
      <w:divBdr>
        <w:top w:val="none" w:sz="0" w:space="0" w:color="auto"/>
        <w:left w:val="none" w:sz="0" w:space="0" w:color="auto"/>
        <w:bottom w:val="none" w:sz="0" w:space="0" w:color="auto"/>
        <w:right w:val="none" w:sz="0" w:space="0" w:color="auto"/>
      </w:divBdr>
    </w:div>
    <w:div w:id="1840347981">
      <w:bodyDiv w:val="1"/>
      <w:marLeft w:val="0"/>
      <w:marRight w:val="0"/>
      <w:marTop w:val="0"/>
      <w:marBottom w:val="0"/>
      <w:divBdr>
        <w:top w:val="none" w:sz="0" w:space="0" w:color="auto"/>
        <w:left w:val="none" w:sz="0" w:space="0" w:color="auto"/>
        <w:bottom w:val="none" w:sz="0" w:space="0" w:color="auto"/>
        <w:right w:val="none" w:sz="0" w:space="0" w:color="auto"/>
      </w:divBdr>
    </w:div>
    <w:div w:id="1874800565">
      <w:bodyDiv w:val="1"/>
      <w:marLeft w:val="0"/>
      <w:marRight w:val="0"/>
      <w:marTop w:val="0"/>
      <w:marBottom w:val="0"/>
      <w:divBdr>
        <w:top w:val="none" w:sz="0" w:space="0" w:color="auto"/>
        <w:left w:val="none" w:sz="0" w:space="0" w:color="auto"/>
        <w:bottom w:val="none" w:sz="0" w:space="0" w:color="auto"/>
        <w:right w:val="none" w:sz="0" w:space="0" w:color="auto"/>
      </w:divBdr>
    </w:div>
    <w:div w:id="2047480189">
      <w:bodyDiv w:val="1"/>
      <w:marLeft w:val="0"/>
      <w:marRight w:val="0"/>
      <w:marTop w:val="0"/>
      <w:marBottom w:val="0"/>
      <w:divBdr>
        <w:top w:val="none" w:sz="0" w:space="0" w:color="auto"/>
        <w:left w:val="none" w:sz="0" w:space="0" w:color="auto"/>
        <w:bottom w:val="none" w:sz="0" w:space="0" w:color="auto"/>
        <w:right w:val="none" w:sz="0" w:space="0" w:color="auto"/>
      </w:divBdr>
    </w:div>
    <w:div w:id="2108695234">
      <w:bodyDiv w:val="1"/>
      <w:marLeft w:val="0"/>
      <w:marRight w:val="0"/>
      <w:marTop w:val="0"/>
      <w:marBottom w:val="0"/>
      <w:divBdr>
        <w:top w:val="none" w:sz="0" w:space="0" w:color="auto"/>
        <w:left w:val="none" w:sz="0" w:space="0" w:color="auto"/>
        <w:bottom w:val="none" w:sz="0" w:space="0" w:color="auto"/>
        <w:right w:val="none" w:sz="0" w:space="0" w:color="auto"/>
      </w:divBdr>
    </w:div>
    <w:div w:id="21233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diagramData" Target="diagrams/data1.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Google%20Drive\SDA-SPCI%20(1)\INDICADORES\MAYO\Tablero%20de%20control%20-%20%20ABRIL%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Evaluación Entidad - ABRIL 2020</a:t>
            </a:r>
          </a:p>
        </c:rich>
      </c:tx>
      <c:layout>
        <c:manualLayout>
          <c:xMode val="edge"/>
          <c:yMode val="edge"/>
          <c:x val="0.30890502544556331"/>
          <c:y val="3.5876963048350613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lotArea>
      <c:layout>
        <c:manualLayout>
          <c:layoutTarget val="inner"/>
          <c:xMode val="edge"/>
          <c:yMode val="edge"/>
          <c:x val="0.22526237038310609"/>
          <c:y val="0.19712299865449073"/>
          <c:w val="0.70724788996573595"/>
          <c:h val="0.52822994236472098"/>
        </c:manualLayout>
      </c:layout>
      <c:barChart>
        <c:barDir val="col"/>
        <c:grouping val="clustered"/>
        <c:varyColors val="0"/>
        <c:ser>
          <c:idx val="0"/>
          <c:order val="0"/>
          <c:tx>
            <c:strRef>
              <c:f>'Ev entidad'!$C$1</c:f>
              <c:strCache>
                <c:ptCount val="1"/>
                <c:pt idx="0">
                  <c:v>Peso por proceso</c:v>
                </c:pt>
              </c:strCache>
            </c:strRef>
          </c:tx>
          <c:spPr>
            <a:solidFill>
              <a:srgbClr val="FFC000"/>
            </a:solidFill>
            <a:ln>
              <a:noFill/>
            </a:ln>
            <a:effectLst>
              <a:outerShdw blurRad="57150" dist="19050" dir="5400000" algn="ctr" rotWithShape="0">
                <a:srgbClr val="000000">
                  <a:alpha val="63000"/>
                </a:srgbClr>
              </a:outerShdw>
            </a:effectLst>
          </c:spPr>
          <c:invertIfNegative val="0"/>
          <c:dLbls>
            <c:spPr>
              <a:solidFill>
                <a:srgbClr val="FFC000"/>
              </a:solid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'Ev entidad'!$A$2:$A$6</c:f>
              <c:strCache>
                <c:ptCount val="5"/>
                <c:pt idx="0">
                  <c:v>Estratégico</c:v>
                </c:pt>
                <c:pt idx="1">
                  <c:v>Misional</c:v>
                </c:pt>
                <c:pt idx="2">
                  <c:v>Apoyo</c:v>
                </c:pt>
                <c:pt idx="3">
                  <c:v>Control y Evaluación</c:v>
                </c:pt>
                <c:pt idx="4">
                  <c:v>TOTAL ENTIDAD</c:v>
                </c:pt>
              </c:strCache>
            </c:strRef>
          </c:cat>
          <c:val>
            <c:numLit>
              <c:formatCode>General</c:formatCode>
              <c:ptCount val="5"/>
              <c:pt idx="0">
                <c:v>20</c:v>
              </c:pt>
              <c:pt idx="1">
                <c:v>50</c:v>
              </c:pt>
              <c:pt idx="2">
                <c:v>20</c:v>
              </c:pt>
              <c:pt idx="3">
                <c:v>10</c:v>
              </c:pt>
              <c:pt idx="4">
                <c:v>100</c:v>
              </c:pt>
            </c:numLit>
          </c:val>
          <c:extLst xmlns:c16r2="http://schemas.microsoft.com/office/drawing/2015/06/chart">
            <c:ext xmlns:c16="http://schemas.microsoft.com/office/drawing/2014/chart" uri="{C3380CC4-5D6E-409C-BE32-E72D297353CC}">
              <c16:uniqueId val="{00000000-AB1F-46F1-95E3-12567DED5957}"/>
            </c:ext>
          </c:extLst>
        </c:ser>
        <c:ser>
          <c:idx val="1"/>
          <c:order val="1"/>
          <c:tx>
            <c:strRef>
              <c:f>'Ev entidad'!$D$1</c:f>
              <c:strCache>
                <c:ptCount val="1"/>
                <c:pt idx="0">
                  <c:v>Peso mensual alcanzado</c:v>
                </c:pt>
              </c:strCache>
            </c:strRef>
          </c:tx>
          <c:spPr>
            <a:solidFill>
              <a:srgbClr val="C0000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'Ev entidad'!$A$2:$A$6</c:f>
              <c:strCache>
                <c:ptCount val="5"/>
                <c:pt idx="0">
                  <c:v>Estratégico</c:v>
                </c:pt>
                <c:pt idx="1">
                  <c:v>Misional</c:v>
                </c:pt>
                <c:pt idx="2">
                  <c:v>Apoyo</c:v>
                </c:pt>
                <c:pt idx="3">
                  <c:v>Control y Evaluación</c:v>
                </c:pt>
                <c:pt idx="4">
                  <c:v>TOTAL ENTIDAD</c:v>
                </c:pt>
              </c:strCache>
            </c:strRef>
          </c:cat>
          <c:val>
            <c:numRef>
              <c:f>'Ev entidad'!$D$2:$D$6</c:f>
              <c:numCache>
                <c:formatCode>_(* #,##0.00_);_(* \(#,##0.00\);_(* "-"??_);_(@_)</c:formatCode>
                <c:ptCount val="5"/>
                <c:pt idx="0" formatCode="_(* #,##0.0_);_(* \(#,##0.0\);_(* &quot;-&quot;??_);_(@_)">
                  <c:v>20</c:v>
                </c:pt>
                <c:pt idx="1">
                  <c:v>40.886060606060603</c:v>
                </c:pt>
                <c:pt idx="2">
                  <c:v>21.24</c:v>
                </c:pt>
                <c:pt idx="3" formatCode="_(* #,##0_);_(* \(#,##0\);_(* &quot;-&quot;??_);_(@_)">
                  <c:v>0</c:v>
                </c:pt>
                <c:pt idx="4" formatCode="0.00">
                  <c:v>82.126060606060605</c:v>
                </c:pt>
              </c:numCache>
            </c:numRef>
          </c:val>
          <c:extLst xmlns:c16r2="http://schemas.microsoft.com/office/drawing/2015/06/chart">
            <c:ext xmlns:c16="http://schemas.microsoft.com/office/drawing/2014/chart" uri="{C3380CC4-5D6E-409C-BE32-E72D297353CC}">
              <c16:uniqueId val="{00000001-AB1F-46F1-95E3-12567DED5957}"/>
            </c:ext>
          </c:extLst>
        </c:ser>
        <c:ser>
          <c:idx val="2"/>
          <c:order val="2"/>
          <c:tx>
            <c:strRef>
              <c:f>'Ev entidad'!$G$1</c:f>
              <c:strCache>
                <c:ptCount val="1"/>
                <c:pt idx="0">
                  <c:v>Peso anual alcanzado</c:v>
                </c:pt>
              </c:strCache>
            </c:strRef>
          </c:tx>
          <c:spPr>
            <a:solidFill>
              <a:srgbClr val="00B050"/>
            </a:solidFill>
            <a:ln>
              <a:noFill/>
            </a:ln>
            <a:effectLst>
              <a:outerShdw blurRad="57150" dist="19050" dir="5400000" algn="ctr" rotWithShape="0">
                <a:srgbClr val="000000">
                  <a:alpha val="63000"/>
                </a:srgbClr>
              </a:outerShdw>
            </a:effectLst>
          </c:spPr>
          <c:invertIfNegative val="0"/>
          <c:dLbls>
            <c:dLbl>
              <c:idx val="0"/>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CO"/>
                </a:p>
              </c:txPr>
              <c:dLblPos val="in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'Ev entidad'!$A$2:$A$6</c:f>
              <c:strCache>
                <c:ptCount val="5"/>
                <c:pt idx="0">
                  <c:v>Estratégico</c:v>
                </c:pt>
                <c:pt idx="1">
                  <c:v>Misional</c:v>
                </c:pt>
                <c:pt idx="2">
                  <c:v>Apoyo</c:v>
                </c:pt>
                <c:pt idx="3">
                  <c:v>Control y Evaluación</c:v>
                </c:pt>
                <c:pt idx="4">
                  <c:v>TOTAL ENTIDAD</c:v>
                </c:pt>
              </c:strCache>
            </c:strRef>
          </c:cat>
          <c:val>
            <c:numRef>
              <c:f>'Ev entidad'!$G$2:$G$6</c:f>
              <c:numCache>
                <c:formatCode>_(* #,##0.00_);_(* \(#,##0.00\);_(* "-"??_);_(@_)</c:formatCode>
                <c:ptCount val="5"/>
                <c:pt idx="0">
                  <c:v>20</c:v>
                </c:pt>
                <c:pt idx="1">
                  <c:v>44.78</c:v>
                </c:pt>
                <c:pt idx="2">
                  <c:v>20</c:v>
                </c:pt>
                <c:pt idx="3">
                  <c:v>0</c:v>
                </c:pt>
                <c:pt idx="4" formatCode="0.00">
                  <c:v>84.78</c:v>
                </c:pt>
              </c:numCache>
            </c:numRef>
          </c:val>
          <c:extLst xmlns:c16r2="http://schemas.microsoft.com/office/drawing/2015/06/chart">
            <c:ext xmlns:c16="http://schemas.microsoft.com/office/drawing/2014/chart" uri="{C3380CC4-5D6E-409C-BE32-E72D297353CC}">
              <c16:uniqueId val="{00000002-AB1F-46F1-95E3-12567DED5957}"/>
            </c:ext>
          </c:extLst>
        </c:ser>
        <c:dLbls>
          <c:dLblPos val="inEnd"/>
          <c:showLegendKey val="0"/>
          <c:showVal val="1"/>
          <c:showCatName val="0"/>
          <c:showSerName val="0"/>
          <c:showPercent val="0"/>
          <c:showBubbleSize val="0"/>
        </c:dLbls>
        <c:gapWidth val="100"/>
        <c:overlap val="-24"/>
        <c:axId val="608225400"/>
        <c:axId val="606820776"/>
      </c:barChart>
      <c:catAx>
        <c:axId val="608225400"/>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606820776"/>
        <c:crosses val="autoZero"/>
        <c:auto val="1"/>
        <c:lblAlgn val="ctr"/>
        <c:lblOffset val="100"/>
        <c:noMultiLvlLbl val="0"/>
      </c:catAx>
      <c:valAx>
        <c:axId val="606820776"/>
        <c:scaling>
          <c:orientation val="minMax"/>
          <c:max val="100"/>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s-ES"/>
              </a:p>
              <a:p>
                <a:pPr>
                  <a:defRPr/>
                </a:pPr>
                <a:endParaRPr lang="es-E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s-CO"/>
            </a:p>
          </c:txPr>
        </c:title>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608225400"/>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accent3">
        <a:lumMod val="75000"/>
      </a:schemeClr>
    </a:solidFill>
    <a:ln>
      <a:noFill/>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8CC38F-B7B7-9A46-900A-6B4B289C370B}" type="doc">
      <dgm:prSet loTypeId="urn:microsoft.com/office/officeart/2005/8/layout/vList3" loCatId="" qsTypeId="urn:microsoft.com/office/officeart/2005/8/quickstyle/simple4" qsCatId="simple" csTypeId="urn:microsoft.com/office/officeart/2005/8/colors/accent1_2" csCatId="accent1" phldr="1"/>
      <dgm:spPr/>
    </dgm:pt>
    <dgm:pt modelId="{EACD9ECA-18FC-9741-B913-3AAD782A4480}">
      <dgm:prSet phldrT="[Texto]" custT="1"/>
      <dgm:spPr>
        <a:solidFill>
          <a:srgbClr val="66CC00"/>
        </a:solidFill>
      </dgm:spPr>
      <dgm:t>
        <a:bodyPr/>
        <a:lstStyle/>
        <a:p>
          <a:r>
            <a:rPr lang="es-ES" sz="1400">
              <a:solidFill>
                <a:schemeClr val="bg1"/>
              </a:solidFill>
            </a:rPr>
            <a:t>Mayor igual 70,01</a:t>
          </a:r>
        </a:p>
      </dgm:t>
    </dgm:pt>
    <dgm:pt modelId="{7404855A-E3EF-1E4B-904A-BAF9702FCE7B}" type="parTrans" cxnId="{125C5E27-CF81-3F47-89AF-088B2B181F45}">
      <dgm:prSet/>
      <dgm:spPr/>
      <dgm:t>
        <a:bodyPr/>
        <a:lstStyle/>
        <a:p>
          <a:endParaRPr lang="es-ES"/>
        </a:p>
      </dgm:t>
    </dgm:pt>
    <dgm:pt modelId="{97BE249D-3300-0141-AD74-9C6A778254C4}" type="sibTrans" cxnId="{125C5E27-CF81-3F47-89AF-088B2B181F45}">
      <dgm:prSet/>
      <dgm:spPr/>
      <dgm:t>
        <a:bodyPr/>
        <a:lstStyle/>
        <a:p>
          <a:endParaRPr lang="es-ES"/>
        </a:p>
      </dgm:t>
    </dgm:pt>
    <dgm:pt modelId="{F5FF74CC-325F-0C42-ADF6-B819D2332B59}">
      <dgm:prSet phldrT="[Texto]" custT="1"/>
      <dgm:spPr>
        <a:solidFill>
          <a:srgbClr val="FFFF00"/>
        </a:solidFill>
      </dgm:spPr>
      <dgm:t>
        <a:bodyPr/>
        <a:lstStyle/>
        <a:p>
          <a:r>
            <a:rPr lang="es-ES" sz="1400">
              <a:solidFill>
                <a:schemeClr val="accent6">
                  <a:lumMod val="75000"/>
                </a:schemeClr>
              </a:solidFill>
            </a:rPr>
            <a:t>Entre 55,01 y 70</a:t>
          </a:r>
        </a:p>
      </dgm:t>
    </dgm:pt>
    <dgm:pt modelId="{E025F85D-5F39-9945-8223-58B89E5B2206}" type="parTrans" cxnId="{1FBFDA48-9166-7549-B70F-E905D71AC341}">
      <dgm:prSet/>
      <dgm:spPr/>
      <dgm:t>
        <a:bodyPr/>
        <a:lstStyle/>
        <a:p>
          <a:endParaRPr lang="es-ES"/>
        </a:p>
      </dgm:t>
    </dgm:pt>
    <dgm:pt modelId="{33A3A187-F867-F14E-8FD8-F6A4F7B0280C}" type="sibTrans" cxnId="{1FBFDA48-9166-7549-B70F-E905D71AC341}">
      <dgm:prSet/>
      <dgm:spPr/>
      <dgm:t>
        <a:bodyPr/>
        <a:lstStyle/>
        <a:p>
          <a:endParaRPr lang="es-ES"/>
        </a:p>
      </dgm:t>
    </dgm:pt>
    <dgm:pt modelId="{DDC003FA-4520-1B4F-8BC7-1D240DC15071}">
      <dgm:prSet phldrT="[Texto]" custT="1"/>
      <dgm:spPr>
        <a:solidFill>
          <a:srgbClr val="FF0000"/>
        </a:solidFill>
      </dgm:spPr>
      <dgm:t>
        <a:bodyPr/>
        <a:lstStyle/>
        <a:p>
          <a:r>
            <a:rPr lang="es-ES" sz="1400">
              <a:solidFill>
                <a:schemeClr val="bg1"/>
              </a:solidFill>
            </a:rPr>
            <a:t>Menor igual a 55</a:t>
          </a:r>
        </a:p>
      </dgm:t>
    </dgm:pt>
    <dgm:pt modelId="{7E7D701D-CA2F-0847-98A8-DCCD8CC1A6D9}" type="sibTrans" cxnId="{8FC4B79D-A738-C046-A2A8-09FD39C37841}">
      <dgm:prSet/>
      <dgm:spPr/>
      <dgm:t>
        <a:bodyPr/>
        <a:lstStyle/>
        <a:p>
          <a:endParaRPr lang="es-ES"/>
        </a:p>
      </dgm:t>
    </dgm:pt>
    <dgm:pt modelId="{331237F2-3197-5046-AC54-202BF35A6042}" type="parTrans" cxnId="{8FC4B79D-A738-C046-A2A8-09FD39C37841}">
      <dgm:prSet/>
      <dgm:spPr/>
      <dgm:t>
        <a:bodyPr/>
        <a:lstStyle/>
        <a:p>
          <a:endParaRPr lang="es-ES"/>
        </a:p>
      </dgm:t>
    </dgm:pt>
    <dgm:pt modelId="{6D7CCC92-DEDE-4B48-9520-DAAA410645B3}" type="pres">
      <dgm:prSet presAssocID="{C48CC38F-B7B7-9A46-900A-6B4B289C370B}" presName="linearFlow" presStyleCnt="0">
        <dgm:presLayoutVars>
          <dgm:dir/>
          <dgm:resizeHandles val="exact"/>
        </dgm:presLayoutVars>
      </dgm:prSet>
      <dgm:spPr/>
    </dgm:pt>
    <dgm:pt modelId="{D29D7B7E-C714-3442-A1E9-C48A60BF4F4E}" type="pres">
      <dgm:prSet presAssocID="{EACD9ECA-18FC-9741-B913-3AAD782A4480}" presName="composite" presStyleCnt="0"/>
      <dgm:spPr/>
    </dgm:pt>
    <dgm:pt modelId="{E313DF18-D225-D147-AF96-349AC4B2F7D6}" type="pres">
      <dgm:prSet presAssocID="{EACD9ECA-18FC-9741-B913-3AAD782A4480}" presName="imgShp" presStyleLbl="fgImgPlace1" presStyleIdx="0" presStyleCnt="3"/>
      <dgm:spPr>
        <a:solidFill>
          <a:srgbClr val="66CC00"/>
        </a:solidFill>
        <a:scene3d>
          <a:camera prst="orthographicFront"/>
          <a:lightRig rig="threePt" dir="t"/>
        </a:scene3d>
        <a:sp3d>
          <a:bevelT/>
        </a:sp3d>
      </dgm:spPr>
    </dgm:pt>
    <dgm:pt modelId="{842CDB44-34EB-4D44-A84E-FD89760B78D6}" type="pres">
      <dgm:prSet presAssocID="{EACD9ECA-18FC-9741-B913-3AAD782A4480}" presName="txShp" presStyleLbl="node1" presStyleIdx="0" presStyleCnt="3" custScaleX="120234" custLinFactNeighborX="-4354" custLinFactNeighborY="5035">
        <dgm:presLayoutVars>
          <dgm:bulletEnabled val="1"/>
        </dgm:presLayoutVars>
      </dgm:prSet>
      <dgm:spPr/>
      <dgm:t>
        <a:bodyPr/>
        <a:lstStyle/>
        <a:p>
          <a:endParaRPr lang="es-CO"/>
        </a:p>
      </dgm:t>
    </dgm:pt>
    <dgm:pt modelId="{18F8E560-F3D9-EE4D-AD3A-A11CE6FF04EB}" type="pres">
      <dgm:prSet presAssocID="{97BE249D-3300-0141-AD74-9C6A778254C4}" presName="spacing" presStyleCnt="0"/>
      <dgm:spPr/>
    </dgm:pt>
    <dgm:pt modelId="{6E60FCB8-4678-674A-A704-E86FFB67D256}" type="pres">
      <dgm:prSet presAssocID="{F5FF74CC-325F-0C42-ADF6-B819D2332B59}" presName="composite" presStyleCnt="0"/>
      <dgm:spPr/>
    </dgm:pt>
    <dgm:pt modelId="{8AFE2398-7CC7-E043-B08B-EEBF5C5AC288}" type="pres">
      <dgm:prSet presAssocID="{F5FF74CC-325F-0C42-ADF6-B819D2332B59}" presName="imgShp" presStyleLbl="fgImgPlace1" presStyleIdx="1" presStyleCnt="3"/>
      <dgm:spPr>
        <a:solidFill>
          <a:srgbClr val="FFFF00"/>
        </a:solidFill>
        <a:scene3d>
          <a:camera prst="orthographicFront"/>
          <a:lightRig rig="threePt" dir="t"/>
        </a:scene3d>
        <a:sp3d>
          <a:bevelT/>
        </a:sp3d>
      </dgm:spPr>
    </dgm:pt>
    <dgm:pt modelId="{964CFE23-9FE8-AD43-ADAD-154EEDEE4DF1}" type="pres">
      <dgm:prSet presAssocID="{F5FF74CC-325F-0C42-ADF6-B819D2332B59}" presName="txShp" presStyleLbl="node1" presStyleIdx="1" presStyleCnt="3" custScaleX="121197">
        <dgm:presLayoutVars>
          <dgm:bulletEnabled val="1"/>
        </dgm:presLayoutVars>
      </dgm:prSet>
      <dgm:spPr/>
      <dgm:t>
        <a:bodyPr/>
        <a:lstStyle/>
        <a:p>
          <a:endParaRPr lang="es-CO"/>
        </a:p>
      </dgm:t>
    </dgm:pt>
    <dgm:pt modelId="{81032428-05C2-694C-A62A-055939E39835}" type="pres">
      <dgm:prSet presAssocID="{33A3A187-F867-F14E-8FD8-F6A4F7B0280C}" presName="spacing" presStyleCnt="0"/>
      <dgm:spPr/>
    </dgm:pt>
    <dgm:pt modelId="{EA4B39D5-0B20-0C44-8D55-107E7C9429DA}" type="pres">
      <dgm:prSet presAssocID="{DDC003FA-4520-1B4F-8BC7-1D240DC15071}" presName="composite" presStyleCnt="0"/>
      <dgm:spPr/>
    </dgm:pt>
    <dgm:pt modelId="{103EFE1D-7BDB-6D4D-BCEA-12860D76B38A}" type="pres">
      <dgm:prSet presAssocID="{DDC003FA-4520-1B4F-8BC7-1D240DC15071}" presName="imgShp" presStyleLbl="fgImgPlace1" presStyleIdx="2" presStyleCnt="3"/>
      <dgm:spPr>
        <a:solidFill>
          <a:srgbClr val="FF0000"/>
        </a:solidFill>
        <a:scene3d>
          <a:camera prst="orthographicFront"/>
          <a:lightRig rig="threePt" dir="t"/>
        </a:scene3d>
        <a:sp3d>
          <a:bevelT/>
        </a:sp3d>
      </dgm:spPr>
    </dgm:pt>
    <dgm:pt modelId="{4BD7D930-D4A2-5941-A088-C5704FDBB654}" type="pres">
      <dgm:prSet presAssocID="{DDC003FA-4520-1B4F-8BC7-1D240DC15071}" presName="txShp" presStyleLbl="node1" presStyleIdx="2" presStyleCnt="3" custScaleX="122067">
        <dgm:presLayoutVars>
          <dgm:bulletEnabled val="1"/>
        </dgm:presLayoutVars>
      </dgm:prSet>
      <dgm:spPr/>
      <dgm:t>
        <a:bodyPr/>
        <a:lstStyle/>
        <a:p>
          <a:endParaRPr lang="es-CO"/>
        </a:p>
      </dgm:t>
    </dgm:pt>
  </dgm:ptLst>
  <dgm:cxnLst>
    <dgm:cxn modelId="{A93B1905-BF76-470C-B1B4-0E38A4AB7C95}" type="presOf" srcId="{C48CC38F-B7B7-9A46-900A-6B4B289C370B}" destId="{6D7CCC92-DEDE-4B48-9520-DAAA410645B3}" srcOrd="0" destOrd="0" presId="urn:microsoft.com/office/officeart/2005/8/layout/vList3"/>
    <dgm:cxn modelId="{8A94ABD5-3CCB-40EC-B965-4EA28183B5D2}" type="presOf" srcId="{EACD9ECA-18FC-9741-B913-3AAD782A4480}" destId="{842CDB44-34EB-4D44-A84E-FD89760B78D6}" srcOrd="0" destOrd="0" presId="urn:microsoft.com/office/officeart/2005/8/layout/vList3"/>
    <dgm:cxn modelId="{2DD0A4FB-348A-4A2F-8DE8-D2CAD465C2B1}" type="presOf" srcId="{DDC003FA-4520-1B4F-8BC7-1D240DC15071}" destId="{4BD7D930-D4A2-5941-A088-C5704FDBB654}" srcOrd="0" destOrd="0" presId="urn:microsoft.com/office/officeart/2005/8/layout/vList3"/>
    <dgm:cxn modelId="{1FBFDA48-9166-7549-B70F-E905D71AC341}" srcId="{C48CC38F-B7B7-9A46-900A-6B4B289C370B}" destId="{F5FF74CC-325F-0C42-ADF6-B819D2332B59}" srcOrd="1" destOrd="0" parTransId="{E025F85D-5F39-9945-8223-58B89E5B2206}" sibTransId="{33A3A187-F867-F14E-8FD8-F6A4F7B0280C}"/>
    <dgm:cxn modelId="{0C494D1A-19B7-4523-B19B-AA77CBA1BF0A}" type="presOf" srcId="{F5FF74CC-325F-0C42-ADF6-B819D2332B59}" destId="{964CFE23-9FE8-AD43-ADAD-154EEDEE4DF1}" srcOrd="0" destOrd="0" presId="urn:microsoft.com/office/officeart/2005/8/layout/vList3"/>
    <dgm:cxn modelId="{125C5E27-CF81-3F47-89AF-088B2B181F45}" srcId="{C48CC38F-B7B7-9A46-900A-6B4B289C370B}" destId="{EACD9ECA-18FC-9741-B913-3AAD782A4480}" srcOrd="0" destOrd="0" parTransId="{7404855A-E3EF-1E4B-904A-BAF9702FCE7B}" sibTransId="{97BE249D-3300-0141-AD74-9C6A778254C4}"/>
    <dgm:cxn modelId="{8FC4B79D-A738-C046-A2A8-09FD39C37841}" srcId="{C48CC38F-B7B7-9A46-900A-6B4B289C370B}" destId="{DDC003FA-4520-1B4F-8BC7-1D240DC15071}" srcOrd="2" destOrd="0" parTransId="{331237F2-3197-5046-AC54-202BF35A6042}" sibTransId="{7E7D701D-CA2F-0847-98A8-DCCD8CC1A6D9}"/>
    <dgm:cxn modelId="{4C644FEB-EA09-4AA9-94E9-1A365FB0D4B7}" type="presParOf" srcId="{6D7CCC92-DEDE-4B48-9520-DAAA410645B3}" destId="{D29D7B7E-C714-3442-A1E9-C48A60BF4F4E}" srcOrd="0" destOrd="0" presId="urn:microsoft.com/office/officeart/2005/8/layout/vList3"/>
    <dgm:cxn modelId="{1D979ADB-9660-4716-8FD1-E173BA88FF65}" type="presParOf" srcId="{D29D7B7E-C714-3442-A1E9-C48A60BF4F4E}" destId="{E313DF18-D225-D147-AF96-349AC4B2F7D6}" srcOrd="0" destOrd="0" presId="urn:microsoft.com/office/officeart/2005/8/layout/vList3"/>
    <dgm:cxn modelId="{296A5582-F722-4F7E-9852-AA368C068141}" type="presParOf" srcId="{D29D7B7E-C714-3442-A1E9-C48A60BF4F4E}" destId="{842CDB44-34EB-4D44-A84E-FD89760B78D6}" srcOrd="1" destOrd="0" presId="urn:microsoft.com/office/officeart/2005/8/layout/vList3"/>
    <dgm:cxn modelId="{C91C1276-FF12-4245-8DCC-417104022882}" type="presParOf" srcId="{6D7CCC92-DEDE-4B48-9520-DAAA410645B3}" destId="{18F8E560-F3D9-EE4D-AD3A-A11CE6FF04EB}" srcOrd="1" destOrd="0" presId="urn:microsoft.com/office/officeart/2005/8/layout/vList3"/>
    <dgm:cxn modelId="{DCB73510-66F0-419E-B5C5-82E2527BEDE4}" type="presParOf" srcId="{6D7CCC92-DEDE-4B48-9520-DAAA410645B3}" destId="{6E60FCB8-4678-674A-A704-E86FFB67D256}" srcOrd="2" destOrd="0" presId="urn:microsoft.com/office/officeart/2005/8/layout/vList3"/>
    <dgm:cxn modelId="{68463B55-3866-43AD-A5A2-EAAA09D6FC3C}" type="presParOf" srcId="{6E60FCB8-4678-674A-A704-E86FFB67D256}" destId="{8AFE2398-7CC7-E043-B08B-EEBF5C5AC288}" srcOrd="0" destOrd="0" presId="urn:microsoft.com/office/officeart/2005/8/layout/vList3"/>
    <dgm:cxn modelId="{E39171ED-067E-4987-9F94-B4AC20996F6C}" type="presParOf" srcId="{6E60FCB8-4678-674A-A704-E86FFB67D256}" destId="{964CFE23-9FE8-AD43-ADAD-154EEDEE4DF1}" srcOrd="1" destOrd="0" presId="urn:microsoft.com/office/officeart/2005/8/layout/vList3"/>
    <dgm:cxn modelId="{9F1C78E5-F684-446D-9668-8841838D2B1A}" type="presParOf" srcId="{6D7CCC92-DEDE-4B48-9520-DAAA410645B3}" destId="{81032428-05C2-694C-A62A-055939E39835}" srcOrd="3" destOrd="0" presId="urn:microsoft.com/office/officeart/2005/8/layout/vList3"/>
    <dgm:cxn modelId="{88A113A8-D46E-4EC6-915F-47E85C5E8DB4}" type="presParOf" srcId="{6D7CCC92-DEDE-4B48-9520-DAAA410645B3}" destId="{EA4B39D5-0B20-0C44-8D55-107E7C9429DA}" srcOrd="4" destOrd="0" presId="urn:microsoft.com/office/officeart/2005/8/layout/vList3"/>
    <dgm:cxn modelId="{113F2843-A2C4-4436-B2AA-1514869D332A}" type="presParOf" srcId="{EA4B39D5-0B20-0C44-8D55-107E7C9429DA}" destId="{103EFE1D-7BDB-6D4D-BCEA-12860D76B38A}" srcOrd="0" destOrd="0" presId="urn:microsoft.com/office/officeart/2005/8/layout/vList3"/>
    <dgm:cxn modelId="{FEF3E1C1-F82F-4117-AB8B-271D396EE9E6}" type="presParOf" srcId="{EA4B39D5-0B20-0C44-8D55-107E7C9429DA}" destId="{4BD7D930-D4A2-5941-A088-C5704FDBB654}" srcOrd="1" destOrd="0" presId="urn:microsoft.com/office/officeart/2005/8/layout/v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2CDB44-34EB-4D44-A84E-FD89760B78D6}">
      <dsp:nvSpPr>
        <dsp:cNvPr id="0" name=""/>
        <dsp:cNvSpPr/>
      </dsp:nvSpPr>
      <dsp:spPr>
        <a:xfrm rot="10800000">
          <a:off x="231231" y="27174"/>
          <a:ext cx="2132416" cy="523502"/>
        </a:xfrm>
        <a:prstGeom prst="homePlate">
          <a:avLst/>
        </a:prstGeom>
        <a:solidFill>
          <a:srgbClr val="66CC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30850" tIns="53340" rIns="99568" bIns="53340" numCol="1" spcCol="1270" anchor="ctr" anchorCtr="0">
          <a:noAutofit/>
        </a:bodyPr>
        <a:lstStyle/>
        <a:p>
          <a:pPr lvl="0" algn="ctr" defTabSz="622300">
            <a:lnSpc>
              <a:spcPct val="90000"/>
            </a:lnSpc>
            <a:spcBef>
              <a:spcPct val="0"/>
            </a:spcBef>
            <a:spcAft>
              <a:spcPct val="35000"/>
            </a:spcAft>
          </a:pPr>
          <a:r>
            <a:rPr lang="es-ES" sz="1400" kern="1200">
              <a:solidFill>
                <a:schemeClr val="bg1"/>
              </a:solidFill>
            </a:rPr>
            <a:t>Mayor igual 70,01</a:t>
          </a:r>
        </a:p>
      </dsp:txBody>
      <dsp:txXfrm rot="10800000">
        <a:off x="362106" y="27174"/>
        <a:ext cx="2001541" cy="523502"/>
      </dsp:txXfrm>
    </dsp:sp>
    <dsp:sp modelId="{E313DF18-D225-D147-AF96-349AC4B2F7D6}">
      <dsp:nvSpPr>
        <dsp:cNvPr id="0" name=""/>
        <dsp:cNvSpPr/>
      </dsp:nvSpPr>
      <dsp:spPr>
        <a:xfrm>
          <a:off x="226131" y="816"/>
          <a:ext cx="523502" cy="523502"/>
        </a:xfrm>
        <a:prstGeom prst="ellipse">
          <a:avLst/>
        </a:prstGeom>
        <a:solidFill>
          <a:srgbClr val="66CC00"/>
        </a:solidFill>
        <a:ln>
          <a:noFill/>
        </a:ln>
        <a:effectLst/>
        <a:scene3d>
          <a:camera prst="orthographicFront"/>
          <a:lightRig rig="threePt" dir="t"/>
        </a:scene3d>
        <a:sp3d>
          <a:bevelT/>
        </a:sp3d>
      </dsp:spPr>
      <dsp:style>
        <a:lnRef idx="0">
          <a:scrgbClr r="0" g="0" b="0"/>
        </a:lnRef>
        <a:fillRef idx="1">
          <a:scrgbClr r="0" g="0" b="0"/>
        </a:fillRef>
        <a:effectRef idx="2">
          <a:scrgbClr r="0" g="0" b="0"/>
        </a:effectRef>
        <a:fontRef idx="minor"/>
      </dsp:style>
    </dsp:sp>
    <dsp:sp modelId="{964CFE23-9FE8-AD43-ADAD-154EEDEE4DF1}">
      <dsp:nvSpPr>
        <dsp:cNvPr id="0" name=""/>
        <dsp:cNvSpPr/>
      </dsp:nvSpPr>
      <dsp:spPr>
        <a:xfrm rot="10800000">
          <a:off x="295642" y="680588"/>
          <a:ext cx="2149495" cy="523502"/>
        </a:xfrm>
        <a:prstGeom prst="homePlate">
          <a:avLst/>
        </a:prstGeom>
        <a:solidFill>
          <a:srgbClr val="FFFF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30850" tIns="53340" rIns="99568" bIns="53340" numCol="1" spcCol="1270" anchor="ctr" anchorCtr="0">
          <a:noAutofit/>
        </a:bodyPr>
        <a:lstStyle/>
        <a:p>
          <a:pPr lvl="0" algn="ctr" defTabSz="622300">
            <a:lnSpc>
              <a:spcPct val="90000"/>
            </a:lnSpc>
            <a:spcBef>
              <a:spcPct val="0"/>
            </a:spcBef>
            <a:spcAft>
              <a:spcPct val="35000"/>
            </a:spcAft>
          </a:pPr>
          <a:r>
            <a:rPr lang="es-ES" sz="1400" kern="1200">
              <a:solidFill>
                <a:schemeClr val="accent6">
                  <a:lumMod val="75000"/>
                </a:schemeClr>
              </a:solidFill>
            </a:rPr>
            <a:t>Entre 55,01 y 70</a:t>
          </a:r>
        </a:p>
      </dsp:txBody>
      <dsp:txXfrm rot="10800000">
        <a:off x="426517" y="680588"/>
        <a:ext cx="2018620" cy="523502"/>
      </dsp:txXfrm>
    </dsp:sp>
    <dsp:sp modelId="{8AFE2398-7CC7-E043-B08B-EEBF5C5AC288}">
      <dsp:nvSpPr>
        <dsp:cNvPr id="0" name=""/>
        <dsp:cNvSpPr/>
      </dsp:nvSpPr>
      <dsp:spPr>
        <a:xfrm>
          <a:off x="221861" y="680588"/>
          <a:ext cx="523502" cy="523502"/>
        </a:xfrm>
        <a:prstGeom prst="ellipse">
          <a:avLst/>
        </a:prstGeom>
        <a:solidFill>
          <a:srgbClr val="FFFF00"/>
        </a:solidFill>
        <a:ln>
          <a:noFill/>
        </a:ln>
        <a:effectLst/>
        <a:scene3d>
          <a:camera prst="orthographicFront"/>
          <a:lightRig rig="threePt" dir="t"/>
        </a:scene3d>
        <a:sp3d>
          <a:bevelT/>
        </a:sp3d>
      </dsp:spPr>
      <dsp:style>
        <a:lnRef idx="0">
          <a:scrgbClr r="0" g="0" b="0"/>
        </a:lnRef>
        <a:fillRef idx="1">
          <a:scrgbClr r="0" g="0" b="0"/>
        </a:fillRef>
        <a:effectRef idx="2">
          <a:scrgbClr r="0" g="0" b="0"/>
        </a:effectRef>
        <a:fontRef idx="minor"/>
      </dsp:style>
    </dsp:sp>
    <dsp:sp modelId="{4BD7D930-D4A2-5941-A088-C5704FDBB654}">
      <dsp:nvSpPr>
        <dsp:cNvPr id="0" name=""/>
        <dsp:cNvSpPr/>
      </dsp:nvSpPr>
      <dsp:spPr>
        <a:xfrm rot="10800000">
          <a:off x="284070" y="1360360"/>
          <a:ext cx="2164925" cy="523502"/>
        </a:xfrm>
        <a:prstGeom prst="homePlate">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30850" tIns="53340" rIns="99568" bIns="53340" numCol="1" spcCol="1270" anchor="ctr" anchorCtr="0">
          <a:noAutofit/>
        </a:bodyPr>
        <a:lstStyle/>
        <a:p>
          <a:pPr lvl="0" algn="ctr" defTabSz="622300">
            <a:lnSpc>
              <a:spcPct val="90000"/>
            </a:lnSpc>
            <a:spcBef>
              <a:spcPct val="0"/>
            </a:spcBef>
            <a:spcAft>
              <a:spcPct val="35000"/>
            </a:spcAft>
          </a:pPr>
          <a:r>
            <a:rPr lang="es-ES" sz="1400" kern="1200">
              <a:solidFill>
                <a:schemeClr val="bg1"/>
              </a:solidFill>
            </a:rPr>
            <a:t>Menor igual a 55</a:t>
          </a:r>
        </a:p>
      </dsp:txBody>
      <dsp:txXfrm rot="10800000">
        <a:off x="414945" y="1360360"/>
        <a:ext cx="2034050" cy="523502"/>
      </dsp:txXfrm>
    </dsp:sp>
    <dsp:sp modelId="{103EFE1D-7BDB-6D4D-BCEA-12860D76B38A}">
      <dsp:nvSpPr>
        <dsp:cNvPr id="0" name=""/>
        <dsp:cNvSpPr/>
      </dsp:nvSpPr>
      <dsp:spPr>
        <a:xfrm>
          <a:off x="218004" y="1360360"/>
          <a:ext cx="523502" cy="523502"/>
        </a:xfrm>
        <a:prstGeom prst="ellipse">
          <a:avLst/>
        </a:prstGeom>
        <a:solidFill>
          <a:srgbClr val="FF0000"/>
        </a:solidFill>
        <a:ln>
          <a:noFill/>
        </a:ln>
        <a:effectLst/>
        <a:scene3d>
          <a:camera prst="orthographicFront"/>
          <a:lightRig rig="threePt" dir="t"/>
        </a:scene3d>
        <a:sp3d>
          <a:bevelT/>
        </a:sp3d>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89E1D1-F630-4F68-BFE1-6DC472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3137</Words>
  <Characters>17256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INFORME INDICADORES DE GESTIÓN - ABRIL</vt:lpstr>
    </vt:vector>
  </TitlesOfParts>
  <Company>SECRETARIA DISTRITAL DE AMBIENTE</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INDICADORES DE GESTIÓN - ABRIL</dc:title>
  <dc:subject/>
  <dc:creator>Subdirección de Proyectos y Cooperación Internacional</dc:creator>
  <cp:keywords/>
  <dc:description/>
  <cp:lastModifiedBy>hector valbuena</cp:lastModifiedBy>
  <cp:revision>2</cp:revision>
  <cp:lastPrinted>2020-05-19T23:41:00Z</cp:lastPrinted>
  <dcterms:created xsi:type="dcterms:W3CDTF">2020-06-10T23:02:00Z</dcterms:created>
  <dcterms:modified xsi:type="dcterms:W3CDTF">2020-06-10T23:02:00Z</dcterms:modified>
</cp:coreProperties>
</file>