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38A56" w14:textId="55177DBC" w:rsidR="00775354" w:rsidRDefault="00AD5AAC">
      <w:pPr>
        <w:rPr>
          <w:rFonts w:ascii="Arial" w:eastAsia="Arial" w:hAnsi="Arial" w:cs="Arial"/>
          <w:sz w:val="20"/>
          <w:szCs w:val="20"/>
        </w:rPr>
      </w:pPr>
      <w:r>
        <w:rPr>
          <w:noProof/>
        </w:rPr>
        <w:drawing>
          <wp:anchor distT="0" distB="0" distL="114300" distR="114300" simplePos="0" relativeHeight="251659264" behindDoc="0" locked="0" layoutInCell="1" hidden="0" allowOverlap="1" wp14:anchorId="604B0DC6" wp14:editId="013F7AFB">
            <wp:simplePos x="0" y="0"/>
            <wp:positionH relativeFrom="page">
              <wp:align>right</wp:align>
            </wp:positionH>
            <wp:positionV relativeFrom="paragraph">
              <wp:posOffset>-699135</wp:posOffset>
            </wp:positionV>
            <wp:extent cx="2944495" cy="10036810"/>
            <wp:effectExtent l="0" t="0" r="8255" b="2540"/>
            <wp:wrapNone/>
            <wp:docPr id="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44495" cy="10036810"/>
                    </a:xfrm>
                    <a:prstGeom prst="rect">
                      <a:avLst/>
                    </a:prstGeom>
                    <a:ln/>
                  </pic:spPr>
                </pic:pic>
              </a:graphicData>
            </a:graphic>
          </wp:anchor>
        </w:drawing>
      </w:r>
      <w:r w:rsidR="00610FF5">
        <w:rPr>
          <w:noProof/>
        </w:rPr>
        <w:drawing>
          <wp:anchor distT="0" distB="0" distL="114300" distR="114300" simplePos="0" relativeHeight="251658240" behindDoc="0" locked="0" layoutInCell="1" hidden="0" allowOverlap="1" wp14:anchorId="5040C3E8" wp14:editId="73092613">
            <wp:simplePos x="0" y="0"/>
            <wp:positionH relativeFrom="column">
              <wp:posOffset>-2469547</wp:posOffset>
            </wp:positionH>
            <wp:positionV relativeFrom="paragraph">
              <wp:posOffset>-2645467</wp:posOffset>
            </wp:positionV>
            <wp:extent cx="4658200" cy="12476560"/>
            <wp:effectExtent l="0" t="0" r="0" b="0"/>
            <wp:wrapNone/>
            <wp:docPr id="4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658200" cy="12476560"/>
                    </a:xfrm>
                    <a:prstGeom prst="rect">
                      <a:avLst/>
                    </a:prstGeom>
                    <a:ln/>
                  </pic:spPr>
                </pic:pic>
              </a:graphicData>
            </a:graphic>
          </wp:anchor>
        </w:drawing>
      </w:r>
      <w:r w:rsidR="00610FF5">
        <w:rPr>
          <w:noProof/>
        </w:rPr>
        <mc:AlternateContent>
          <mc:Choice Requires="wpg">
            <w:drawing>
              <wp:anchor distT="0" distB="0" distL="114300" distR="114300" simplePos="0" relativeHeight="251660288" behindDoc="0" locked="0" layoutInCell="1" hidden="0" allowOverlap="1" wp14:anchorId="7FB2DF4E" wp14:editId="0C2DA84D">
                <wp:simplePos x="0" y="0"/>
                <wp:positionH relativeFrom="column">
                  <wp:posOffset>-485774</wp:posOffset>
                </wp:positionH>
                <wp:positionV relativeFrom="paragraph">
                  <wp:posOffset>66675</wp:posOffset>
                </wp:positionV>
                <wp:extent cx="7122844" cy="1838325"/>
                <wp:effectExtent l="0" t="0" r="0" b="0"/>
                <wp:wrapNone/>
                <wp:docPr id="47" name="Rectángulo 47"/>
                <wp:cNvGraphicFramePr/>
                <a:graphic xmlns:a="http://schemas.openxmlformats.org/drawingml/2006/main">
                  <a:graphicData uri="http://schemas.microsoft.com/office/word/2010/wordprocessingShape">
                    <wps:wsp>
                      <wps:cNvSpPr/>
                      <wps:spPr>
                        <a:xfrm>
                          <a:off x="1789341" y="2865600"/>
                          <a:ext cx="7113319" cy="1828800"/>
                        </a:xfrm>
                        <a:prstGeom prst="rect">
                          <a:avLst/>
                        </a:prstGeom>
                        <a:noFill/>
                        <a:ln>
                          <a:noFill/>
                        </a:ln>
                      </wps:spPr>
                      <wps:txbx>
                        <w:txbxContent>
                          <w:p w14:paraId="107C46A3" w14:textId="77777777" w:rsidR="00775354" w:rsidRDefault="00610FF5">
                            <w:pPr>
                              <w:spacing w:line="258" w:lineRule="auto"/>
                              <w:jc w:val="center"/>
                              <w:textDirection w:val="btLr"/>
                            </w:pPr>
                            <w:r>
                              <w:rPr>
                                <w:b/>
                                <w:color w:val="000000"/>
                                <w:sz w:val="96"/>
                              </w:rPr>
                              <w:t>INFORME DE INDICADORES DE GESTIÓN</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-485774</wp:posOffset>
                </wp:positionH>
                <wp:positionV relativeFrom="paragraph">
                  <wp:posOffset>66675</wp:posOffset>
                </wp:positionV>
                <wp:extent cx="7122844" cy="1838325"/>
                <wp:effectExtent b="0" l="0" r="0" t="0"/>
                <wp:wrapNone/>
                <wp:docPr id="47" name="image15.png"/>
                <a:graphic>
                  <a:graphicData uri="http://schemas.openxmlformats.org/drawingml/2006/picture">
                    <pic:pic>
                      <pic:nvPicPr>
                        <pic:cNvPr id="0" name="image15.png"/>
                        <pic:cNvPicPr preferRelativeResize="0"/>
                      </pic:nvPicPr>
                      <pic:blipFill>
                        <a:blip r:embed="rId10"/>
                        <a:srcRect/>
                        <a:stretch>
                          <a:fillRect/>
                        </a:stretch>
                      </pic:blipFill>
                      <pic:spPr>
                        <a:xfrm>
                          <a:off x="0" y="0"/>
                          <a:ext cx="7122844" cy="1838325"/>
                        </a:xfrm>
                        <a:prstGeom prst="rect"/>
                        <a:ln/>
                      </pic:spPr>
                    </pic:pic>
                  </a:graphicData>
                </a:graphic>
              </wp:anchor>
            </w:drawing>
          </mc:Fallback>
        </mc:AlternateContent>
      </w:r>
    </w:p>
    <w:p w14:paraId="316EE2D4" w14:textId="77777777" w:rsidR="00775354" w:rsidRDefault="00610FF5">
      <w:pPr>
        <w:rPr>
          <w:rFonts w:ascii="Arial" w:eastAsia="Arial" w:hAnsi="Arial" w:cs="Arial"/>
          <w:sz w:val="20"/>
          <w:szCs w:val="20"/>
        </w:rPr>
      </w:pPr>
      <w:r>
        <w:br w:type="page"/>
      </w:r>
      <w:r>
        <w:rPr>
          <w:noProof/>
        </w:rPr>
        <w:drawing>
          <wp:anchor distT="0" distB="0" distL="0" distR="0" simplePos="0" relativeHeight="251661312" behindDoc="0" locked="0" layoutInCell="1" hidden="0" allowOverlap="1" wp14:anchorId="4E9E5A47" wp14:editId="2BFA3A80">
            <wp:simplePos x="0" y="0"/>
            <wp:positionH relativeFrom="column">
              <wp:posOffset>805815</wp:posOffset>
            </wp:positionH>
            <wp:positionV relativeFrom="paragraph">
              <wp:posOffset>2240280</wp:posOffset>
            </wp:positionV>
            <wp:extent cx="4724400" cy="3514699"/>
            <wp:effectExtent l="0" t="0" r="0" b="0"/>
            <wp:wrapSquare wrapText="bothSides" distT="0" distB="0" distL="0" distR="0"/>
            <wp:docPr id="5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r="24382"/>
                    <a:stretch>
                      <a:fillRect/>
                    </a:stretch>
                  </pic:blipFill>
                  <pic:spPr>
                    <a:xfrm>
                      <a:off x="0" y="0"/>
                      <a:ext cx="4724400" cy="3514699"/>
                    </a:xfrm>
                    <a:prstGeom prst="rect">
                      <a:avLst/>
                    </a:prstGeom>
                    <a:ln/>
                  </pic:spPr>
                </pic:pic>
              </a:graphicData>
            </a:graphic>
          </wp:anchor>
        </w:drawing>
      </w:r>
      <w:r>
        <w:rPr>
          <w:noProof/>
        </w:rPr>
        <mc:AlternateContent>
          <mc:Choice Requires="wpg">
            <w:drawing>
              <wp:anchor distT="0" distB="0" distL="114300" distR="114300" simplePos="0" relativeHeight="251662336" behindDoc="0" locked="0" layoutInCell="1" hidden="0" allowOverlap="1" wp14:anchorId="39A2F8C6" wp14:editId="3C2E8737">
                <wp:simplePos x="0" y="0"/>
                <wp:positionH relativeFrom="column">
                  <wp:posOffset>139700</wp:posOffset>
                </wp:positionH>
                <wp:positionV relativeFrom="paragraph">
                  <wp:posOffset>6235700</wp:posOffset>
                </wp:positionV>
                <wp:extent cx="4581525" cy="1838325"/>
                <wp:effectExtent l="0" t="0" r="0" b="0"/>
                <wp:wrapNone/>
                <wp:docPr id="46" name="Rectángulo 46"/>
                <wp:cNvGraphicFramePr/>
                <a:graphic xmlns:a="http://schemas.openxmlformats.org/drawingml/2006/main">
                  <a:graphicData uri="http://schemas.microsoft.com/office/word/2010/wordprocessingShape">
                    <wps:wsp>
                      <wps:cNvSpPr/>
                      <wps:spPr>
                        <a:xfrm>
                          <a:off x="3060000" y="2865600"/>
                          <a:ext cx="4572000" cy="1828800"/>
                        </a:xfrm>
                        <a:prstGeom prst="rect">
                          <a:avLst/>
                        </a:prstGeom>
                        <a:noFill/>
                        <a:ln>
                          <a:noFill/>
                        </a:ln>
                      </wps:spPr>
                      <wps:txbx>
                        <w:txbxContent>
                          <w:p w14:paraId="63C4E391" w14:textId="77777777" w:rsidR="00775354" w:rsidRDefault="00610FF5">
                            <w:pPr>
                              <w:spacing w:line="258" w:lineRule="auto"/>
                              <w:jc w:val="center"/>
                              <w:textDirection w:val="btLr"/>
                            </w:pPr>
                            <w:r>
                              <w:rPr>
                                <w:b/>
                                <w:color w:val="000000"/>
                                <w:sz w:val="96"/>
                              </w:rPr>
                              <w:t>NOVIEMBRE  2020</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139700</wp:posOffset>
                </wp:positionH>
                <wp:positionV relativeFrom="paragraph">
                  <wp:posOffset>6235700</wp:posOffset>
                </wp:positionV>
                <wp:extent cx="4581525" cy="1838325"/>
                <wp:effectExtent b="0" l="0" r="0" t="0"/>
                <wp:wrapNone/>
                <wp:docPr id="46"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4581525" cy="1838325"/>
                        </a:xfrm>
                        <a:prstGeom prst="rect"/>
                        <a:ln/>
                      </pic:spPr>
                    </pic:pic>
                  </a:graphicData>
                </a:graphic>
              </wp:anchor>
            </w:drawing>
          </mc:Fallback>
        </mc:AlternateContent>
      </w:r>
      <w:r>
        <w:rPr>
          <w:noProof/>
        </w:rPr>
        <w:drawing>
          <wp:anchor distT="0" distB="0" distL="114300" distR="114300" simplePos="0" relativeHeight="251663360" behindDoc="0" locked="0" layoutInCell="1" hidden="0" allowOverlap="1" wp14:anchorId="6006272A" wp14:editId="67195C75">
            <wp:simplePos x="0" y="0"/>
            <wp:positionH relativeFrom="column">
              <wp:posOffset>4263291</wp:posOffset>
            </wp:positionH>
            <wp:positionV relativeFrom="paragraph">
              <wp:posOffset>7356796</wp:posOffset>
            </wp:positionV>
            <wp:extent cx="2300538" cy="1285120"/>
            <wp:effectExtent l="0" t="0" r="0" b="0"/>
            <wp:wrapNone/>
            <wp:docPr id="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300538" cy="1285120"/>
                    </a:xfrm>
                    <a:prstGeom prst="rect">
                      <a:avLst/>
                    </a:prstGeom>
                    <a:ln/>
                  </pic:spPr>
                </pic:pic>
              </a:graphicData>
            </a:graphic>
          </wp:anchor>
        </w:drawing>
      </w:r>
    </w:p>
    <w:p w14:paraId="0600B3D7" w14:textId="77777777" w:rsidR="00775354" w:rsidRDefault="00610FF5">
      <w:pPr>
        <w:rPr>
          <w:rFonts w:ascii="Arial" w:eastAsia="Arial" w:hAnsi="Arial" w:cs="Arial"/>
          <w:sz w:val="20"/>
          <w:szCs w:val="20"/>
        </w:rPr>
      </w:pPr>
      <w:r>
        <w:rPr>
          <w:noProof/>
        </w:rPr>
        <w:lastRenderedPageBreak/>
        <mc:AlternateContent>
          <mc:Choice Requires="wpg">
            <w:drawing>
              <wp:anchor distT="0" distB="0" distL="114300" distR="114300" simplePos="0" relativeHeight="251664384" behindDoc="0" locked="0" layoutInCell="1" hidden="0" allowOverlap="1" wp14:anchorId="52FCEB6A" wp14:editId="4BE02576">
                <wp:simplePos x="0" y="0"/>
                <wp:positionH relativeFrom="column">
                  <wp:posOffset>1</wp:posOffset>
                </wp:positionH>
                <wp:positionV relativeFrom="paragraph">
                  <wp:posOffset>10236200</wp:posOffset>
                </wp:positionV>
                <wp:extent cx="4143375" cy="434340"/>
                <wp:effectExtent l="0" t="0" r="0" b="0"/>
                <wp:wrapNone/>
                <wp:docPr id="44" name="Rectángulo 44"/>
                <wp:cNvGraphicFramePr/>
                <a:graphic xmlns:a="http://schemas.openxmlformats.org/drawingml/2006/main">
                  <a:graphicData uri="http://schemas.microsoft.com/office/word/2010/wordprocessingShape">
                    <wps:wsp>
                      <wps:cNvSpPr/>
                      <wps:spPr>
                        <a:xfrm>
                          <a:off x="3279075" y="3567593"/>
                          <a:ext cx="4133850" cy="424815"/>
                        </a:xfrm>
                        <a:prstGeom prst="rect">
                          <a:avLst/>
                        </a:prstGeom>
                        <a:noFill/>
                        <a:ln>
                          <a:noFill/>
                        </a:ln>
                      </wps:spPr>
                      <wps:txbx>
                        <w:txbxContent>
                          <w:p w14:paraId="2C2AFB32" w14:textId="77777777" w:rsidR="00775354" w:rsidRDefault="00610FF5">
                            <w:pPr>
                              <w:spacing w:line="258" w:lineRule="auto"/>
                              <w:jc w:val="center"/>
                              <w:textDirection w:val="btLr"/>
                            </w:pPr>
                            <w:r>
                              <w:rPr>
                                <w:rFonts w:ascii="Avenir" w:eastAsia="Avenir" w:hAnsi="Avenir" w:cs="Avenir"/>
                                <w:color w:val="000000"/>
                                <w:sz w:val="16"/>
                              </w:rPr>
                              <w:t>SECRETARIA DISTRITAL DE AMBIENTE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10236200</wp:posOffset>
                </wp:positionV>
                <wp:extent cx="4143375" cy="434340"/>
                <wp:effectExtent b="0" l="0" r="0" t="0"/>
                <wp:wrapNone/>
                <wp:docPr id="44" name="image12.png"/>
                <a:graphic>
                  <a:graphicData uri="http://schemas.openxmlformats.org/drawingml/2006/picture">
                    <pic:pic>
                      <pic:nvPicPr>
                        <pic:cNvPr id="0" name="image12.png"/>
                        <pic:cNvPicPr preferRelativeResize="0"/>
                      </pic:nvPicPr>
                      <pic:blipFill>
                        <a:blip r:embed="rId14"/>
                        <a:srcRect/>
                        <a:stretch>
                          <a:fillRect/>
                        </a:stretch>
                      </pic:blipFill>
                      <pic:spPr>
                        <a:xfrm>
                          <a:off x="0" y="0"/>
                          <a:ext cx="4143375" cy="43434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710A058B" wp14:editId="288391FE">
                <wp:simplePos x="0" y="0"/>
                <wp:positionH relativeFrom="column">
                  <wp:posOffset>1092200</wp:posOffset>
                </wp:positionH>
                <wp:positionV relativeFrom="paragraph">
                  <wp:posOffset>9232900</wp:posOffset>
                </wp:positionV>
                <wp:extent cx="1878330" cy="668655"/>
                <wp:effectExtent l="0" t="0" r="0" b="0"/>
                <wp:wrapNone/>
                <wp:docPr id="45" name="Rectángulo 45"/>
                <wp:cNvGraphicFramePr/>
                <a:graphic xmlns:a="http://schemas.openxmlformats.org/drawingml/2006/main">
                  <a:graphicData uri="http://schemas.microsoft.com/office/word/2010/wordprocessingShape">
                    <wps:wsp>
                      <wps:cNvSpPr/>
                      <wps:spPr>
                        <a:xfrm>
                          <a:off x="4411598" y="3450435"/>
                          <a:ext cx="1868805" cy="659130"/>
                        </a:xfrm>
                        <a:prstGeom prst="rect">
                          <a:avLst/>
                        </a:prstGeom>
                        <a:noFill/>
                        <a:ln>
                          <a:noFill/>
                        </a:ln>
                      </wps:spPr>
                      <wps:txbx>
                        <w:txbxContent>
                          <w:p w14:paraId="2458657F" w14:textId="77777777" w:rsidR="00775354" w:rsidRDefault="00610FF5">
                            <w:pPr>
                              <w:spacing w:line="258" w:lineRule="auto"/>
                              <w:jc w:val="right"/>
                              <w:textDirection w:val="btLr"/>
                            </w:pPr>
                            <w:r>
                              <w:rPr>
                                <w:rFonts w:ascii="Arial Narrow" w:eastAsia="Arial Narrow" w:hAnsi="Arial Narrow" w:cs="Arial Narrow"/>
                                <w:i/>
                                <w:color w:val="767171"/>
                                <w:sz w:val="72"/>
                              </w:rPr>
                              <w:t>AGOSTO</w:t>
                            </w:r>
                          </w:p>
                          <w:p w14:paraId="6E3A6DBC" w14:textId="77777777" w:rsidR="00775354" w:rsidRDefault="0077535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1092200</wp:posOffset>
                </wp:positionH>
                <wp:positionV relativeFrom="paragraph">
                  <wp:posOffset>9232900</wp:posOffset>
                </wp:positionV>
                <wp:extent cx="1878330" cy="668655"/>
                <wp:effectExtent b="0" l="0" r="0" t="0"/>
                <wp:wrapNone/>
                <wp:docPr id="45" name="image13.png"/>
                <a:graphic>
                  <a:graphicData uri="http://schemas.openxmlformats.org/drawingml/2006/picture">
                    <pic:pic>
                      <pic:nvPicPr>
                        <pic:cNvPr id="0" name="image13.png"/>
                        <pic:cNvPicPr preferRelativeResize="0"/>
                      </pic:nvPicPr>
                      <pic:blipFill>
                        <a:blip r:embed="rId15"/>
                        <a:srcRect/>
                        <a:stretch>
                          <a:fillRect/>
                        </a:stretch>
                      </pic:blipFill>
                      <pic:spPr>
                        <a:xfrm>
                          <a:off x="0" y="0"/>
                          <a:ext cx="1878330" cy="668655"/>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5A8497B6" wp14:editId="2BBD042D">
                <wp:simplePos x="0" y="0"/>
                <wp:positionH relativeFrom="column">
                  <wp:posOffset>-1231899</wp:posOffset>
                </wp:positionH>
                <wp:positionV relativeFrom="paragraph">
                  <wp:posOffset>-1358899</wp:posOffset>
                </wp:positionV>
                <wp:extent cx="4143375" cy="434340"/>
                <wp:effectExtent l="0" t="0" r="0" b="0"/>
                <wp:wrapNone/>
                <wp:docPr id="43" name="Rectángulo 43"/>
                <wp:cNvGraphicFramePr/>
                <a:graphic xmlns:a="http://schemas.openxmlformats.org/drawingml/2006/main">
                  <a:graphicData uri="http://schemas.microsoft.com/office/word/2010/wordprocessingShape">
                    <wps:wsp>
                      <wps:cNvSpPr/>
                      <wps:spPr>
                        <a:xfrm>
                          <a:off x="3279075" y="3567593"/>
                          <a:ext cx="4133850" cy="424815"/>
                        </a:xfrm>
                        <a:prstGeom prst="rect">
                          <a:avLst/>
                        </a:prstGeom>
                        <a:noFill/>
                        <a:ln>
                          <a:noFill/>
                        </a:ln>
                      </wps:spPr>
                      <wps:txbx>
                        <w:txbxContent>
                          <w:p w14:paraId="1426F195" w14:textId="77777777" w:rsidR="00775354" w:rsidRDefault="00610FF5">
                            <w:pPr>
                              <w:spacing w:line="258" w:lineRule="auto"/>
                              <w:jc w:val="center"/>
                              <w:textDirection w:val="btLr"/>
                            </w:pPr>
                            <w:r>
                              <w:rPr>
                                <w:rFonts w:ascii="Avenir" w:eastAsia="Avenir" w:hAnsi="Avenir" w:cs="Avenir"/>
                                <w:color w:val="000000"/>
                                <w:sz w:val="16"/>
                              </w:rPr>
                              <w:t>SECRETARIA DISTRITAL DE AMBIENTE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-1231899</wp:posOffset>
                </wp:positionH>
                <wp:positionV relativeFrom="paragraph">
                  <wp:posOffset>-1358899</wp:posOffset>
                </wp:positionV>
                <wp:extent cx="4143375" cy="434340"/>
                <wp:effectExtent b="0" l="0" r="0" t="0"/>
                <wp:wrapNone/>
                <wp:docPr id="43"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4143375" cy="434340"/>
                        </a:xfrm>
                        <a:prstGeom prst="rect"/>
                        <a:ln/>
                      </pic:spPr>
                    </pic:pic>
                  </a:graphicData>
                </a:graphic>
              </wp:anchor>
            </w:drawing>
          </mc:Fallback>
        </mc:AlternateContent>
      </w:r>
    </w:p>
    <w:p w14:paraId="63FFE3E5" w14:textId="77777777" w:rsidR="00775354" w:rsidRDefault="00610FF5">
      <w:pPr>
        <w:keepNext/>
        <w:keepLines/>
        <w:pBdr>
          <w:top w:val="nil"/>
          <w:left w:val="nil"/>
          <w:bottom w:val="nil"/>
          <w:right w:val="nil"/>
          <w:between w:val="nil"/>
        </w:pBdr>
        <w:spacing w:before="240" w:after="0"/>
        <w:jc w:val="center"/>
        <w:rPr>
          <w:rFonts w:ascii="Arial" w:eastAsia="Arial" w:hAnsi="Arial" w:cs="Arial"/>
          <w:color w:val="2E75B5"/>
          <w:sz w:val="20"/>
          <w:szCs w:val="20"/>
        </w:rPr>
      </w:pPr>
      <w:r>
        <w:rPr>
          <w:rFonts w:ascii="Arial" w:eastAsia="Arial" w:hAnsi="Arial" w:cs="Arial"/>
          <w:color w:val="2E75B5"/>
          <w:sz w:val="20"/>
          <w:szCs w:val="20"/>
        </w:rPr>
        <w:t>Tabla de contenido</w:t>
      </w:r>
    </w:p>
    <w:sdt>
      <w:sdtPr>
        <w:id w:val="28924560"/>
        <w:docPartObj>
          <w:docPartGallery w:val="Table of Contents"/>
          <w:docPartUnique/>
        </w:docPartObj>
      </w:sdtPr>
      <w:sdtEndPr/>
      <w:sdtContent>
        <w:p w14:paraId="6AD6A925" w14:textId="77777777" w:rsidR="00775354" w:rsidRDefault="00610FF5">
          <w:pPr>
            <w:pBdr>
              <w:top w:val="nil"/>
              <w:left w:val="nil"/>
              <w:bottom w:val="nil"/>
              <w:right w:val="nil"/>
              <w:between w:val="nil"/>
            </w:pBdr>
            <w:tabs>
              <w:tab w:val="left" w:pos="440"/>
              <w:tab w:val="right" w:pos="8828"/>
            </w:tabs>
            <w:spacing w:after="100"/>
            <w:rPr>
              <w:color w:val="000000"/>
            </w:rPr>
          </w:pPr>
          <w:r>
            <w:fldChar w:fldCharType="begin"/>
          </w:r>
          <w:r>
            <w:instrText xml:space="preserve"> TOC \h \u \z </w:instrText>
          </w:r>
          <w:r>
            <w:fldChar w:fldCharType="separate"/>
          </w:r>
          <w:hyperlink w:anchor="_heading=h.gjdgxs">
            <w:r>
              <w:rPr>
                <w:rFonts w:ascii="Arial" w:eastAsia="Arial" w:hAnsi="Arial" w:cs="Arial"/>
                <w:color w:val="000000"/>
              </w:rPr>
              <w:t>1.</w:t>
            </w:r>
          </w:hyperlink>
          <w:hyperlink w:anchor="_heading=h.gjdgxs">
            <w:r>
              <w:rPr>
                <w:color w:val="000000"/>
              </w:rPr>
              <w:tab/>
            </w:r>
          </w:hyperlink>
          <w:r>
            <w:fldChar w:fldCharType="begin"/>
          </w:r>
          <w:r>
            <w:instrText xml:space="preserve"> PAGEREF _heading=h.gjdgxs \h </w:instrText>
          </w:r>
          <w:r>
            <w:fldChar w:fldCharType="separate"/>
          </w:r>
          <w:r>
            <w:rPr>
              <w:rFonts w:ascii="Arial" w:eastAsia="Arial" w:hAnsi="Arial" w:cs="Arial"/>
              <w:color w:val="000000"/>
            </w:rPr>
            <w:t>Introducción</w:t>
          </w:r>
          <w:r>
            <w:rPr>
              <w:color w:val="000000"/>
            </w:rPr>
            <w:tab/>
            <w:t>2</w:t>
          </w:r>
          <w:r>
            <w:fldChar w:fldCharType="end"/>
          </w:r>
        </w:p>
        <w:p w14:paraId="4823F24B" w14:textId="77777777" w:rsidR="00775354" w:rsidRDefault="00B421D5">
          <w:pPr>
            <w:pBdr>
              <w:top w:val="nil"/>
              <w:left w:val="nil"/>
              <w:bottom w:val="nil"/>
              <w:right w:val="nil"/>
              <w:between w:val="nil"/>
            </w:pBdr>
            <w:tabs>
              <w:tab w:val="left" w:pos="440"/>
              <w:tab w:val="right" w:pos="8828"/>
            </w:tabs>
            <w:spacing w:after="100"/>
            <w:rPr>
              <w:color w:val="000000"/>
            </w:rPr>
          </w:pPr>
          <w:hyperlink w:anchor="_heading=h.30j0zll">
            <w:r w:rsidR="00610FF5">
              <w:rPr>
                <w:rFonts w:ascii="Arial" w:eastAsia="Arial" w:hAnsi="Arial" w:cs="Arial"/>
                <w:color w:val="000000"/>
              </w:rPr>
              <w:t>2.</w:t>
            </w:r>
          </w:hyperlink>
          <w:hyperlink w:anchor="_heading=h.30j0zll">
            <w:r w:rsidR="00610FF5">
              <w:rPr>
                <w:color w:val="000000"/>
              </w:rPr>
              <w:tab/>
            </w:r>
          </w:hyperlink>
          <w:r w:rsidR="00610FF5">
            <w:fldChar w:fldCharType="begin"/>
          </w:r>
          <w:r w:rsidR="00610FF5">
            <w:instrText xml:space="preserve"> PAGEREF _heading=h.30j0zll \h </w:instrText>
          </w:r>
          <w:r w:rsidR="00610FF5">
            <w:fldChar w:fldCharType="separate"/>
          </w:r>
          <w:r w:rsidR="00610FF5">
            <w:rPr>
              <w:rFonts w:ascii="Arial" w:eastAsia="Arial" w:hAnsi="Arial" w:cs="Arial"/>
              <w:color w:val="000000"/>
            </w:rPr>
            <w:t>Metodología</w:t>
          </w:r>
          <w:r w:rsidR="00610FF5">
            <w:rPr>
              <w:color w:val="000000"/>
            </w:rPr>
            <w:tab/>
            <w:t>2</w:t>
          </w:r>
          <w:r w:rsidR="00610FF5">
            <w:fldChar w:fldCharType="end"/>
          </w:r>
        </w:p>
        <w:p w14:paraId="2612F8D8" w14:textId="77777777" w:rsidR="00775354" w:rsidRDefault="00B421D5">
          <w:pPr>
            <w:pBdr>
              <w:top w:val="nil"/>
              <w:left w:val="nil"/>
              <w:bottom w:val="nil"/>
              <w:right w:val="nil"/>
              <w:between w:val="nil"/>
            </w:pBdr>
            <w:tabs>
              <w:tab w:val="left" w:pos="440"/>
              <w:tab w:val="right" w:pos="8828"/>
            </w:tabs>
            <w:spacing w:after="100"/>
            <w:rPr>
              <w:color w:val="000000"/>
            </w:rPr>
          </w:pPr>
          <w:hyperlink w:anchor="_heading=h.1fob9te">
            <w:r w:rsidR="00610FF5">
              <w:rPr>
                <w:rFonts w:ascii="Arial" w:eastAsia="Arial" w:hAnsi="Arial" w:cs="Arial"/>
                <w:color w:val="000000"/>
              </w:rPr>
              <w:t>3.</w:t>
            </w:r>
          </w:hyperlink>
          <w:hyperlink w:anchor="_heading=h.1fob9te">
            <w:r w:rsidR="00610FF5">
              <w:rPr>
                <w:color w:val="000000"/>
              </w:rPr>
              <w:tab/>
            </w:r>
          </w:hyperlink>
          <w:r w:rsidR="00610FF5">
            <w:fldChar w:fldCharType="begin"/>
          </w:r>
          <w:r w:rsidR="00610FF5">
            <w:instrText xml:space="preserve"> PAGEREF _heading=h.1fob9te \h </w:instrText>
          </w:r>
          <w:r w:rsidR="00610FF5">
            <w:fldChar w:fldCharType="separate"/>
          </w:r>
          <w:r w:rsidR="00610FF5">
            <w:rPr>
              <w:rFonts w:ascii="Arial" w:eastAsia="Arial" w:hAnsi="Arial" w:cs="Arial"/>
              <w:color w:val="000000"/>
            </w:rPr>
            <w:t>EVALUACIÓN DE LOS INDICADORES DE GESTIÓN POR PROCESO</w:t>
          </w:r>
          <w:r w:rsidR="00610FF5">
            <w:rPr>
              <w:color w:val="000000"/>
            </w:rPr>
            <w:tab/>
            <w:t>3</w:t>
          </w:r>
          <w:r w:rsidR="00610FF5">
            <w:fldChar w:fldCharType="end"/>
          </w:r>
        </w:p>
        <w:p w14:paraId="40E148E4" w14:textId="77777777" w:rsidR="00775354" w:rsidRDefault="00B421D5">
          <w:pPr>
            <w:pBdr>
              <w:top w:val="nil"/>
              <w:left w:val="nil"/>
              <w:bottom w:val="nil"/>
              <w:right w:val="nil"/>
              <w:between w:val="nil"/>
            </w:pBdr>
            <w:tabs>
              <w:tab w:val="left" w:pos="660"/>
              <w:tab w:val="right" w:pos="8828"/>
            </w:tabs>
            <w:spacing w:after="100"/>
            <w:ind w:left="220"/>
            <w:rPr>
              <w:color w:val="000000"/>
            </w:rPr>
          </w:pPr>
          <w:hyperlink w:anchor="_heading=h.3znysh7">
            <w:r w:rsidR="00610FF5">
              <w:rPr>
                <w:rFonts w:ascii="Arial" w:eastAsia="Arial" w:hAnsi="Arial" w:cs="Arial"/>
                <w:color w:val="000000"/>
              </w:rPr>
              <w:t>a.</w:t>
            </w:r>
          </w:hyperlink>
          <w:hyperlink w:anchor="_heading=h.3znysh7">
            <w:r w:rsidR="00610FF5">
              <w:rPr>
                <w:color w:val="000000"/>
              </w:rPr>
              <w:tab/>
            </w:r>
          </w:hyperlink>
          <w:r w:rsidR="00610FF5">
            <w:fldChar w:fldCharType="begin"/>
          </w:r>
          <w:r w:rsidR="00610FF5">
            <w:instrText xml:space="preserve"> PAGEREF _heading=h.3znysh7 \h </w:instrText>
          </w:r>
          <w:r w:rsidR="00610FF5">
            <w:fldChar w:fldCharType="separate"/>
          </w:r>
          <w:r w:rsidR="00610FF5">
            <w:rPr>
              <w:rFonts w:ascii="Arial" w:eastAsia="Arial" w:hAnsi="Arial" w:cs="Arial"/>
              <w:color w:val="000000"/>
            </w:rPr>
            <w:t>Mapa de Procesos</w:t>
          </w:r>
          <w:r w:rsidR="00610FF5">
            <w:rPr>
              <w:color w:val="000000"/>
            </w:rPr>
            <w:tab/>
            <w:t>3</w:t>
          </w:r>
          <w:r w:rsidR="00610FF5">
            <w:fldChar w:fldCharType="end"/>
          </w:r>
        </w:p>
        <w:p w14:paraId="1DB6252D" w14:textId="77777777" w:rsidR="00775354" w:rsidRDefault="00B421D5">
          <w:pPr>
            <w:pBdr>
              <w:top w:val="nil"/>
              <w:left w:val="nil"/>
              <w:bottom w:val="nil"/>
              <w:right w:val="nil"/>
              <w:between w:val="nil"/>
            </w:pBdr>
            <w:tabs>
              <w:tab w:val="left" w:pos="440"/>
              <w:tab w:val="right" w:pos="8828"/>
            </w:tabs>
            <w:spacing w:after="100"/>
            <w:rPr>
              <w:color w:val="000000"/>
            </w:rPr>
          </w:pPr>
          <w:hyperlink w:anchor="_heading=h.2et92p0">
            <w:r w:rsidR="00610FF5">
              <w:rPr>
                <w:rFonts w:ascii="Arial" w:eastAsia="Arial" w:hAnsi="Arial" w:cs="Arial"/>
                <w:color w:val="000000"/>
              </w:rPr>
              <w:t>4.</w:t>
            </w:r>
          </w:hyperlink>
          <w:hyperlink w:anchor="_heading=h.2et92p0">
            <w:r w:rsidR="00610FF5">
              <w:rPr>
                <w:color w:val="000000"/>
              </w:rPr>
              <w:tab/>
            </w:r>
          </w:hyperlink>
          <w:r w:rsidR="00610FF5">
            <w:fldChar w:fldCharType="begin"/>
          </w:r>
          <w:r w:rsidR="00610FF5">
            <w:instrText xml:space="preserve"> PAGEREF _heading=h.2et92p0 \h </w:instrText>
          </w:r>
          <w:r w:rsidR="00610FF5">
            <w:fldChar w:fldCharType="separate"/>
          </w:r>
          <w:r w:rsidR="00610FF5">
            <w:rPr>
              <w:rFonts w:ascii="Arial" w:eastAsia="Arial" w:hAnsi="Arial" w:cs="Arial"/>
              <w:color w:val="000000"/>
            </w:rPr>
            <w:t>MEDICIÓN DE INDICADORES</w:t>
          </w:r>
          <w:r w:rsidR="00610FF5">
            <w:rPr>
              <w:color w:val="000000"/>
            </w:rPr>
            <w:tab/>
            <w:t>3</w:t>
          </w:r>
          <w:r w:rsidR="00610FF5">
            <w:fldChar w:fldCharType="end"/>
          </w:r>
        </w:p>
        <w:p w14:paraId="6FBCFAB9" w14:textId="77777777" w:rsidR="00775354" w:rsidRDefault="00B421D5">
          <w:pPr>
            <w:pBdr>
              <w:top w:val="nil"/>
              <w:left w:val="nil"/>
              <w:bottom w:val="nil"/>
              <w:right w:val="nil"/>
              <w:between w:val="nil"/>
            </w:pBdr>
            <w:tabs>
              <w:tab w:val="left" w:pos="660"/>
              <w:tab w:val="right" w:pos="8828"/>
            </w:tabs>
            <w:spacing w:after="100"/>
            <w:ind w:left="220"/>
            <w:rPr>
              <w:color w:val="000000"/>
            </w:rPr>
          </w:pPr>
          <w:hyperlink w:anchor="_heading=h.tyjcwt">
            <w:r w:rsidR="00610FF5">
              <w:rPr>
                <w:rFonts w:ascii="Arial" w:eastAsia="Arial" w:hAnsi="Arial" w:cs="Arial"/>
                <w:color w:val="000000"/>
              </w:rPr>
              <w:t>a.</w:t>
            </w:r>
          </w:hyperlink>
          <w:hyperlink w:anchor="_heading=h.tyjcwt">
            <w:r w:rsidR="00610FF5">
              <w:rPr>
                <w:color w:val="000000"/>
              </w:rPr>
              <w:tab/>
            </w:r>
          </w:hyperlink>
          <w:r w:rsidR="00610FF5">
            <w:fldChar w:fldCharType="begin"/>
          </w:r>
          <w:r w:rsidR="00610FF5">
            <w:instrText xml:space="preserve"> PAGEREF _heading=h.tyjcwt \h </w:instrText>
          </w:r>
          <w:r w:rsidR="00610FF5">
            <w:fldChar w:fldCharType="separate"/>
          </w:r>
          <w:r w:rsidR="00610FF5">
            <w:rPr>
              <w:rFonts w:ascii="Arial" w:eastAsia="Arial" w:hAnsi="Arial" w:cs="Arial"/>
              <w:color w:val="000000"/>
            </w:rPr>
            <w:t>Indicadores con 100% de cumplimiento</w:t>
          </w:r>
          <w:r w:rsidR="00610FF5">
            <w:rPr>
              <w:color w:val="000000"/>
            </w:rPr>
            <w:tab/>
            <w:t>4</w:t>
          </w:r>
          <w:r w:rsidR="00610FF5">
            <w:fldChar w:fldCharType="end"/>
          </w:r>
        </w:p>
        <w:p w14:paraId="3FEB8112" w14:textId="77777777" w:rsidR="00775354" w:rsidRDefault="00B421D5">
          <w:pPr>
            <w:pBdr>
              <w:top w:val="nil"/>
              <w:left w:val="nil"/>
              <w:bottom w:val="nil"/>
              <w:right w:val="nil"/>
              <w:between w:val="nil"/>
            </w:pBdr>
            <w:tabs>
              <w:tab w:val="left" w:pos="660"/>
              <w:tab w:val="right" w:pos="8828"/>
            </w:tabs>
            <w:spacing w:after="100"/>
            <w:ind w:left="220"/>
            <w:rPr>
              <w:color w:val="000000"/>
            </w:rPr>
          </w:pPr>
          <w:hyperlink w:anchor="_heading=h.1t3h5sf">
            <w:r w:rsidR="00610FF5">
              <w:rPr>
                <w:rFonts w:ascii="Arial" w:eastAsia="Arial" w:hAnsi="Arial" w:cs="Arial"/>
                <w:color w:val="000000"/>
              </w:rPr>
              <w:t>b.</w:t>
            </w:r>
          </w:hyperlink>
          <w:hyperlink w:anchor="_heading=h.1t3h5sf">
            <w:r w:rsidR="00610FF5">
              <w:rPr>
                <w:color w:val="000000"/>
              </w:rPr>
              <w:tab/>
            </w:r>
          </w:hyperlink>
          <w:r w:rsidR="00610FF5">
            <w:fldChar w:fldCharType="begin"/>
          </w:r>
          <w:r w:rsidR="00610FF5">
            <w:instrText xml:space="preserve"> PAGEREF _heading=h.1t3h5sf \h </w:instrText>
          </w:r>
          <w:r w:rsidR="00610FF5">
            <w:fldChar w:fldCharType="separate"/>
          </w:r>
          <w:r w:rsidR="00610FF5">
            <w:rPr>
              <w:rFonts w:ascii="Arial" w:eastAsia="Arial" w:hAnsi="Arial" w:cs="Arial"/>
              <w:color w:val="000000"/>
            </w:rPr>
            <w:t>Indicadores con cumplimiento del 75% y el 89%</w:t>
          </w:r>
          <w:r w:rsidR="00610FF5">
            <w:rPr>
              <w:color w:val="000000"/>
            </w:rPr>
            <w:tab/>
            <w:t>5</w:t>
          </w:r>
          <w:r w:rsidR="00610FF5">
            <w:fldChar w:fldCharType="end"/>
          </w:r>
        </w:p>
        <w:p w14:paraId="48C35EBD" w14:textId="77777777" w:rsidR="00775354" w:rsidRDefault="00B421D5">
          <w:pPr>
            <w:pBdr>
              <w:top w:val="nil"/>
              <w:left w:val="nil"/>
              <w:bottom w:val="nil"/>
              <w:right w:val="nil"/>
              <w:between w:val="nil"/>
            </w:pBdr>
            <w:tabs>
              <w:tab w:val="left" w:pos="660"/>
              <w:tab w:val="right" w:pos="8828"/>
            </w:tabs>
            <w:spacing w:after="100"/>
            <w:ind w:left="220"/>
            <w:rPr>
              <w:color w:val="000000"/>
            </w:rPr>
          </w:pPr>
          <w:hyperlink w:anchor="_heading=h.4d34og8">
            <w:r w:rsidR="00610FF5">
              <w:rPr>
                <w:rFonts w:ascii="Arial" w:eastAsia="Arial" w:hAnsi="Arial" w:cs="Arial"/>
                <w:color w:val="000000"/>
              </w:rPr>
              <w:t>c.</w:t>
            </w:r>
          </w:hyperlink>
          <w:hyperlink w:anchor="_heading=h.4d34og8">
            <w:r w:rsidR="00610FF5">
              <w:rPr>
                <w:color w:val="000000"/>
              </w:rPr>
              <w:tab/>
            </w:r>
          </w:hyperlink>
          <w:r w:rsidR="00610FF5">
            <w:fldChar w:fldCharType="begin"/>
          </w:r>
          <w:r w:rsidR="00610FF5">
            <w:instrText xml:space="preserve"> PAGEREF _heading=h.4d34og8 \h </w:instrText>
          </w:r>
          <w:r w:rsidR="00610FF5">
            <w:fldChar w:fldCharType="separate"/>
          </w:r>
          <w:r w:rsidR="00610FF5">
            <w:rPr>
              <w:rFonts w:ascii="Arial" w:eastAsia="Arial" w:hAnsi="Arial" w:cs="Arial"/>
              <w:color w:val="000000"/>
            </w:rPr>
            <w:t>Indicadores del 59% al 70% de cumplimiento</w:t>
          </w:r>
          <w:r w:rsidR="00610FF5">
            <w:rPr>
              <w:color w:val="000000"/>
            </w:rPr>
            <w:tab/>
            <w:t>6</w:t>
          </w:r>
          <w:r w:rsidR="00610FF5">
            <w:fldChar w:fldCharType="end"/>
          </w:r>
        </w:p>
        <w:p w14:paraId="0A165247" w14:textId="77777777" w:rsidR="00775354" w:rsidRDefault="00B421D5">
          <w:pPr>
            <w:pBdr>
              <w:top w:val="nil"/>
              <w:left w:val="nil"/>
              <w:bottom w:val="nil"/>
              <w:right w:val="nil"/>
              <w:between w:val="nil"/>
            </w:pBdr>
            <w:tabs>
              <w:tab w:val="left" w:pos="660"/>
              <w:tab w:val="right" w:pos="8828"/>
            </w:tabs>
            <w:spacing w:after="100"/>
            <w:ind w:left="220"/>
            <w:rPr>
              <w:color w:val="000000"/>
            </w:rPr>
          </w:pPr>
          <w:hyperlink w:anchor="_heading=h.17dp8vu">
            <w:r w:rsidR="00610FF5">
              <w:rPr>
                <w:rFonts w:ascii="Arial" w:eastAsia="Arial" w:hAnsi="Arial" w:cs="Arial"/>
                <w:color w:val="000000"/>
              </w:rPr>
              <w:t>d.</w:t>
            </w:r>
          </w:hyperlink>
          <w:hyperlink w:anchor="_heading=h.17dp8vu">
            <w:r w:rsidR="00610FF5">
              <w:rPr>
                <w:color w:val="000000"/>
              </w:rPr>
              <w:tab/>
            </w:r>
          </w:hyperlink>
          <w:r w:rsidR="00610FF5">
            <w:fldChar w:fldCharType="begin"/>
          </w:r>
          <w:r w:rsidR="00610FF5">
            <w:instrText xml:space="preserve"> PAGEREF _heading=h.17dp8vu \h </w:instrText>
          </w:r>
          <w:r w:rsidR="00610FF5">
            <w:fldChar w:fldCharType="separate"/>
          </w:r>
          <w:r w:rsidR="00610FF5">
            <w:rPr>
              <w:rFonts w:ascii="Arial" w:eastAsia="Arial" w:hAnsi="Arial" w:cs="Arial"/>
              <w:color w:val="000000"/>
            </w:rPr>
            <w:t>Indicadores con cumplimiento superior al 100%</w:t>
          </w:r>
          <w:r w:rsidR="00610FF5">
            <w:rPr>
              <w:color w:val="000000"/>
            </w:rPr>
            <w:tab/>
            <w:t>8</w:t>
          </w:r>
          <w:r w:rsidR="00610FF5">
            <w:fldChar w:fldCharType="end"/>
          </w:r>
        </w:p>
        <w:p w14:paraId="155F2A90" w14:textId="77777777" w:rsidR="00775354" w:rsidRDefault="00B421D5">
          <w:pPr>
            <w:pBdr>
              <w:top w:val="nil"/>
              <w:left w:val="nil"/>
              <w:bottom w:val="nil"/>
              <w:right w:val="nil"/>
              <w:between w:val="nil"/>
            </w:pBdr>
            <w:tabs>
              <w:tab w:val="left" w:pos="660"/>
              <w:tab w:val="right" w:pos="8828"/>
            </w:tabs>
            <w:spacing w:after="100"/>
            <w:ind w:left="220"/>
            <w:rPr>
              <w:color w:val="000000"/>
            </w:rPr>
          </w:pPr>
          <w:hyperlink w:anchor="_heading=h.3rdcrjn">
            <w:r w:rsidR="00610FF5">
              <w:rPr>
                <w:rFonts w:ascii="Arial" w:eastAsia="Arial" w:hAnsi="Arial" w:cs="Arial"/>
                <w:color w:val="000000"/>
              </w:rPr>
              <w:t>e.</w:t>
            </w:r>
          </w:hyperlink>
          <w:hyperlink w:anchor="_heading=h.3rdcrjn">
            <w:r w:rsidR="00610FF5">
              <w:rPr>
                <w:color w:val="000000"/>
              </w:rPr>
              <w:tab/>
            </w:r>
          </w:hyperlink>
          <w:r w:rsidR="00610FF5">
            <w:fldChar w:fldCharType="begin"/>
          </w:r>
          <w:r w:rsidR="00610FF5">
            <w:instrText xml:space="preserve"> PAGEREF _heading=h.3rdcrjn \h </w:instrText>
          </w:r>
          <w:r w:rsidR="00610FF5">
            <w:fldChar w:fldCharType="separate"/>
          </w:r>
          <w:r w:rsidR="00610FF5">
            <w:rPr>
              <w:rFonts w:ascii="Arial" w:eastAsia="Arial" w:hAnsi="Arial" w:cs="Arial"/>
              <w:color w:val="000000"/>
            </w:rPr>
            <w:t>Indicadores con cumplimiento inferior al 55%</w:t>
          </w:r>
          <w:r w:rsidR="00610FF5">
            <w:rPr>
              <w:color w:val="000000"/>
            </w:rPr>
            <w:tab/>
            <w:t>9</w:t>
          </w:r>
          <w:r w:rsidR="00610FF5">
            <w:fldChar w:fldCharType="end"/>
          </w:r>
        </w:p>
        <w:p w14:paraId="7EF095B3" w14:textId="77777777" w:rsidR="00775354" w:rsidRDefault="00B421D5">
          <w:pPr>
            <w:pBdr>
              <w:top w:val="nil"/>
              <w:left w:val="nil"/>
              <w:bottom w:val="nil"/>
              <w:right w:val="nil"/>
              <w:between w:val="nil"/>
            </w:pBdr>
            <w:tabs>
              <w:tab w:val="left" w:pos="440"/>
              <w:tab w:val="right" w:pos="8828"/>
            </w:tabs>
            <w:spacing w:after="100"/>
            <w:rPr>
              <w:color w:val="000000"/>
            </w:rPr>
          </w:pPr>
          <w:hyperlink w:anchor="_heading=h.26in1rg">
            <w:r w:rsidR="00610FF5">
              <w:rPr>
                <w:rFonts w:ascii="Arial" w:eastAsia="Arial" w:hAnsi="Arial" w:cs="Arial"/>
                <w:color w:val="000000"/>
              </w:rPr>
              <w:t>5.</w:t>
            </w:r>
          </w:hyperlink>
          <w:hyperlink w:anchor="_heading=h.26in1rg">
            <w:r w:rsidR="00610FF5">
              <w:rPr>
                <w:color w:val="000000"/>
              </w:rPr>
              <w:tab/>
            </w:r>
          </w:hyperlink>
          <w:r w:rsidR="00610FF5">
            <w:fldChar w:fldCharType="begin"/>
          </w:r>
          <w:r w:rsidR="00610FF5">
            <w:instrText xml:space="preserve"> PAGEREF _heading=h.26in1rg \h </w:instrText>
          </w:r>
          <w:r w:rsidR="00610FF5">
            <w:fldChar w:fldCharType="separate"/>
          </w:r>
          <w:r w:rsidR="00610FF5">
            <w:rPr>
              <w:rFonts w:ascii="Arial" w:eastAsia="Arial" w:hAnsi="Arial" w:cs="Arial"/>
              <w:color w:val="000000"/>
            </w:rPr>
            <w:t>RECOMENDACIONES</w:t>
          </w:r>
          <w:r w:rsidR="00610FF5">
            <w:rPr>
              <w:color w:val="000000"/>
            </w:rPr>
            <w:tab/>
            <w:t>12</w:t>
          </w:r>
          <w:r w:rsidR="00610FF5">
            <w:fldChar w:fldCharType="end"/>
          </w:r>
        </w:p>
        <w:p w14:paraId="6EABE77D" w14:textId="77777777" w:rsidR="00775354" w:rsidRDefault="00610FF5">
          <w:pPr>
            <w:rPr>
              <w:rFonts w:ascii="Arial" w:eastAsia="Arial" w:hAnsi="Arial" w:cs="Arial"/>
              <w:sz w:val="20"/>
              <w:szCs w:val="20"/>
            </w:rPr>
          </w:pPr>
          <w:r>
            <w:fldChar w:fldCharType="end"/>
          </w:r>
        </w:p>
      </w:sdtContent>
    </w:sdt>
    <w:p w14:paraId="53DCA32A" w14:textId="77777777" w:rsidR="00775354" w:rsidRDefault="00775354">
      <w:pPr>
        <w:pStyle w:val="Ttulo1"/>
        <w:ind w:left="360"/>
        <w:rPr>
          <w:rFonts w:ascii="Arial" w:eastAsia="Arial" w:hAnsi="Arial" w:cs="Arial"/>
          <w:sz w:val="20"/>
          <w:szCs w:val="20"/>
        </w:rPr>
      </w:pPr>
    </w:p>
    <w:p w14:paraId="526C6CBB" w14:textId="77777777" w:rsidR="00775354" w:rsidRDefault="00775354">
      <w:pPr>
        <w:rPr>
          <w:rFonts w:ascii="Arial" w:eastAsia="Arial" w:hAnsi="Arial" w:cs="Arial"/>
          <w:sz w:val="20"/>
          <w:szCs w:val="20"/>
        </w:rPr>
      </w:pPr>
    </w:p>
    <w:p w14:paraId="2494200C" w14:textId="77777777" w:rsidR="00775354" w:rsidRDefault="00775354">
      <w:pPr>
        <w:rPr>
          <w:rFonts w:ascii="Arial" w:eastAsia="Arial" w:hAnsi="Arial" w:cs="Arial"/>
          <w:sz w:val="20"/>
          <w:szCs w:val="20"/>
        </w:rPr>
      </w:pPr>
    </w:p>
    <w:p w14:paraId="619E253A" w14:textId="77777777" w:rsidR="00775354" w:rsidRDefault="00775354">
      <w:pPr>
        <w:rPr>
          <w:rFonts w:ascii="Arial" w:eastAsia="Arial" w:hAnsi="Arial" w:cs="Arial"/>
          <w:sz w:val="20"/>
          <w:szCs w:val="20"/>
        </w:rPr>
      </w:pPr>
    </w:p>
    <w:p w14:paraId="0B071D1B" w14:textId="77777777" w:rsidR="00775354" w:rsidRDefault="00775354">
      <w:pPr>
        <w:pStyle w:val="Ttulo1"/>
        <w:ind w:left="360"/>
        <w:rPr>
          <w:rFonts w:ascii="Arial" w:eastAsia="Arial" w:hAnsi="Arial" w:cs="Arial"/>
          <w:sz w:val="20"/>
          <w:szCs w:val="20"/>
        </w:rPr>
      </w:pPr>
    </w:p>
    <w:p w14:paraId="2AF45207" w14:textId="77777777" w:rsidR="00775354" w:rsidRDefault="00775354">
      <w:pPr>
        <w:rPr>
          <w:rFonts w:ascii="Arial" w:eastAsia="Arial" w:hAnsi="Arial" w:cs="Arial"/>
          <w:sz w:val="20"/>
          <w:szCs w:val="20"/>
        </w:rPr>
      </w:pPr>
    </w:p>
    <w:p w14:paraId="79FB9960" w14:textId="77777777" w:rsidR="00775354" w:rsidRDefault="00775354">
      <w:pPr>
        <w:rPr>
          <w:rFonts w:ascii="Arial" w:eastAsia="Arial" w:hAnsi="Arial" w:cs="Arial"/>
          <w:sz w:val="20"/>
          <w:szCs w:val="20"/>
        </w:rPr>
      </w:pPr>
    </w:p>
    <w:p w14:paraId="4437F8FA" w14:textId="77777777" w:rsidR="00775354" w:rsidRDefault="00775354">
      <w:pPr>
        <w:rPr>
          <w:rFonts w:ascii="Arial" w:eastAsia="Arial" w:hAnsi="Arial" w:cs="Arial"/>
          <w:sz w:val="20"/>
          <w:szCs w:val="20"/>
        </w:rPr>
      </w:pPr>
    </w:p>
    <w:p w14:paraId="636AE050" w14:textId="77777777" w:rsidR="00775354" w:rsidRDefault="00775354">
      <w:pPr>
        <w:rPr>
          <w:rFonts w:ascii="Arial" w:eastAsia="Arial" w:hAnsi="Arial" w:cs="Arial"/>
          <w:sz w:val="20"/>
          <w:szCs w:val="20"/>
        </w:rPr>
      </w:pPr>
    </w:p>
    <w:p w14:paraId="162C4BA9" w14:textId="77777777" w:rsidR="00775354" w:rsidRDefault="00775354">
      <w:pPr>
        <w:rPr>
          <w:rFonts w:ascii="Arial" w:eastAsia="Arial" w:hAnsi="Arial" w:cs="Arial"/>
          <w:sz w:val="20"/>
          <w:szCs w:val="20"/>
        </w:rPr>
      </w:pPr>
    </w:p>
    <w:p w14:paraId="3C5F49C4" w14:textId="77777777" w:rsidR="00775354" w:rsidRDefault="00775354">
      <w:pPr>
        <w:rPr>
          <w:rFonts w:ascii="Arial" w:eastAsia="Arial" w:hAnsi="Arial" w:cs="Arial"/>
          <w:sz w:val="20"/>
          <w:szCs w:val="20"/>
        </w:rPr>
      </w:pPr>
    </w:p>
    <w:p w14:paraId="2E9DC6F6" w14:textId="77777777" w:rsidR="00775354" w:rsidRDefault="00775354">
      <w:pPr>
        <w:rPr>
          <w:rFonts w:ascii="Arial" w:eastAsia="Arial" w:hAnsi="Arial" w:cs="Arial"/>
          <w:sz w:val="20"/>
          <w:szCs w:val="20"/>
        </w:rPr>
      </w:pPr>
    </w:p>
    <w:p w14:paraId="75E68E46" w14:textId="77777777" w:rsidR="00775354" w:rsidRDefault="00775354">
      <w:pPr>
        <w:rPr>
          <w:rFonts w:ascii="Arial" w:eastAsia="Arial" w:hAnsi="Arial" w:cs="Arial"/>
          <w:sz w:val="20"/>
          <w:szCs w:val="20"/>
        </w:rPr>
      </w:pPr>
    </w:p>
    <w:p w14:paraId="28ED1B80" w14:textId="77777777" w:rsidR="00775354" w:rsidRDefault="00775354">
      <w:pPr>
        <w:rPr>
          <w:rFonts w:ascii="Arial" w:eastAsia="Arial" w:hAnsi="Arial" w:cs="Arial"/>
          <w:sz w:val="20"/>
          <w:szCs w:val="20"/>
        </w:rPr>
      </w:pPr>
    </w:p>
    <w:p w14:paraId="2B44D1F2" w14:textId="77777777" w:rsidR="00775354" w:rsidRDefault="00775354">
      <w:pPr>
        <w:rPr>
          <w:rFonts w:ascii="Arial" w:eastAsia="Arial" w:hAnsi="Arial" w:cs="Arial"/>
          <w:sz w:val="20"/>
          <w:szCs w:val="20"/>
        </w:rPr>
      </w:pPr>
    </w:p>
    <w:p w14:paraId="0A36FF98" w14:textId="77777777" w:rsidR="00775354" w:rsidRDefault="00775354">
      <w:pPr>
        <w:rPr>
          <w:rFonts w:ascii="Arial" w:eastAsia="Arial" w:hAnsi="Arial" w:cs="Arial"/>
          <w:sz w:val="20"/>
          <w:szCs w:val="20"/>
        </w:rPr>
      </w:pPr>
    </w:p>
    <w:p w14:paraId="7AF8130D" w14:textId="77777777" w:rsidR="00775354" w:rsidRDefault="00775354">
      <w:pPr>
        <w:rPr>
          <w:rFonts w:ascii="Arial" w:eastAsia="Arial" w:hAnsi="Arial" w:cs="Arial"/>
          <w:sz w:val="20"/>
          <w:szCs w:val="20"/>
        </w:rPr>
      </w:pPr>
    </w:p>
    <w:p w14:paraId="19FFD9B4" w14:textId="77777777" w:rsidR="00775354" w:rsidRDefault="00775354">
      <w:pPr>
        <w:rPr>
          <w:rFonts w:ascii="Arial" w:eastAsia="Arial" w:hAnsi="Arial" w:cs="Arial"/>
          <w:sz w:val="20"/>
          <w:szCs w:val="20"/>
        </w:rPr>
      </w:pPr>
    </w:p>
    <w:p w14:paraId="074F8B29" w14:textId="77777777" w:rsidR="00775354" w:rsidRDefault="00610FF5">
      <w:pPr>
        <w:pStyle w:val="Ttulo1"/>
        <w:numPr>
          <w:ilvl w:val="0"/>
          <w:numId w:val="4"/>
        </w:numPr>
        <w:rPr>
          <w:rFonts w:ascii="Arial" w:eastAsia="Arial" w:hAnsi="Arial" w:cs="Arial"/>
          <w:sz w:val="20"/>
          <w:szCs w:val="20"/>
        </w:rPr>
      </w:pPr>
      <w:bookmarkStart w:id="0" w:name="_heading=h.gjdgxs" w:colFirst="0" w:colLast="0"/>
      <w:bookmarkEnd w:id="0"/>
      <w:r>
        <w:rPr>
          <w:rFonts w:ascii="Arial" w:eastAsia="Arial" w:hAnsi="Arial" w:cs="Arial"/>
          <w:sz w:val="20"/>
          <w:szCs w:val="20"/>
        </w:rPr>
        <w:lastRenderedPageBreak/>
        <w:t xml:space="preserve">Introducción </w:t>
      </w:r>
    </w:p>
    <w:p w14:paraId="119A6349" w14:textId="77777777" w:rsidR="00775354" w:rsidRDefault="00775354">
      <w:pPr>
        <w:rPr>
          <w:rFonts w:ascii="Arial" w:eastAsia="Arial" w:hAnsi="Arial" w:cs="Arial"/>
          <w:sz w:val="20"/>
          <w:szCs w:val="20"/>
        </w:rPr>
      </w:pPr>
    </w:p>
    <w:p w14:paraId="6ADFB49E" w14:textId="77777777" w:rsidR="00775354" w:rsidRDefault="00610FF5">
      <w:pPr>
        <w:jc w:val="both"/>
        <w:rPr>
          <w:rFonts w:ascii="Arial" w:eastAsia="Arial" w:hAnsi="Arial" w:cs="Arial"/>
          <w:sz w:val="20"/>
          <w:szCs w:val="20"/>
        </w:rPr>
      </w:pPr>
      <w:r>
        <w:rPr>
          <w:rFonts w:ascii="Arial" w:eastAsia="Arial" w:hAnsi="Arial" w:cs="Arial"/>
          <w:sz w:val="20"/>
          <w:szCs w:val="20"/>
        </w:rPr>
        <w:t>Como objetivo de los indicadores de gestión se establece la visualización del cumplimiento de los proyectos o metas propuestas con el fin de tener las bases necesarias para las tomas de decisiones y permiten tener un control adecuado sobre una situación dada, de ahí su importancia al hacer posible el predecir y actuar con base en las tendencias positivas o negativas observadas en su desempeño global.</w:t>
      </w:r>
    </w:p>
    <w:p w14:paraId="23210E15" w14:textId="77777777" w:rsidR="00775354" w:rsidRDefault="00610FF5">
      <w:pPr>
        <w:jc w:val="both"/>
        <w:rPr>
          <w:rFonts w:ascii="Arial" w:eastAsia="Arial" w:hAnsi="Arial" w:cs="Arial"/>
          <w:sz w:val="20"/>
          <w:szCs w:val="20"/>
        </w:rPr>
      </w:pPr>
      <w:r>
        <w:rPr>
          <w:rFonts w:ascii="Arial" w:eastAsia="Arial" w:hAnsi="Arial" w:cs="Arial"/>
          <w:sz w:val="20"/>
          <w:szCs w:val="20"/>
        </w:rPr>
        <w:t>El desempeño de la Secretaría Distrital de Ambiente se mide en términos de resultados expresados en índices de gestión, medida gerencial que permite evaluar la gestión de la entidad frente a sus metas, objetivos y responsabilidades.</w:t>
      </w:r>
    </w:p>
    <w:p w14:paraId="4625F8B2" w14:textId="77777777" w:rsidR="00775354" w:rsidRDefault="00610FF5">
      <w:pPr>
        <w:jc w:val="both"/>
        <w:rPr>
          <w:rFonts w:ascii="Arial" w:eastAsia="Arial" w:hAnsi="Arial" w:cs="Arial"/>
          <w:sz w:val="20"/>
          <w:szCs w:val="20"/>
        </w:rPr>
      </w:pPr>
      <w:r>
        <w:rPr>
          <w:rFonts w:ascii="Arial" w:eastAsia="Arial" w:hAnsi="Arial" w:cs="Arial"/>
          <w:sz w:val="20"/>
          <w:szCs w:val="20"/>
        </w:rPr>
        <w:t>A través del presente informe, se dan a conocer los resultados alcanzados en los indicadores que constituyen la gestión institucional de la SDA para el periodo de septiembre 2020.</w:t>
      </w:r>
    </w:p>
    <w:p w14:paraId="39C29FED" w14:textId="77777777" w:rsidR="00775354" w:rsidRDefault="00610FF5">
      <w:pPr>
        <w:jc w:val="both"/>
        <w:rPr>
          <w:rFonts w:ascii="Arial" w:eastAsia="Arial" w:hAnsi="Arial" w:cs="Arial"/>
          <w:sz w:val="20"/>
          <w:szCs w:val="20"/>
        </w:rPr>
      </w:pPr>
      <w:r>
        <w:rPr>
          <w:rFonts w:ascii="Arial" w:eastAsia="Arial" w:hAnsi="Arial" w:cs="Arial"/>
          <w:sz w:val="20"/>
          <w:szCs w:val="20"/>
        </w:rPr>
        <w:t>En primer lugar, se presenta la medición y evaluación cuantitativa de ciento dieciocho (118) indicadores establecidos para la vigencia 2020 en el segundo semestre, conforme la programación realizada por las dependencias de la Secretaría, en el marco del Plan de Desarrollo vigente.</w:t>
      </w:r>
    </w:p>
    <w:p w14:paraId="7A7E2A13"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Así mismo, se presentan los resultados obtenidos de los indicadores de gestión asociados al cumplimiento de metas Plan de Desarrollo y de los que responden a la Plataforma Estratégica de la Entidad.  </w:t>
      </w:r>
    </w:p>
    <w:p w14:paraId="55211915" w14:textId="77777777" w:rsidR="00775354" w:rsidRDefault="00610FF5">
      <w:pPr>
        <w:rPr>
          <w:rFonts w:ascii="Arial" w:eastAsia="Arial" w:hAnsi="Arial" w:cs="Arial"/>
          <w:sz w:val="20"/>
          <w:szCs w:val="20"/>
        </w:rPr>
      </w:pPr>
      <w:r>
        <w:rPr>
          <w:rFonts w:ascii="Arial" w:eastAsia="Arial" w:hAnsi="Arial" w:cs="Arial"/>
          <w:sz w:val="20"/>
          <w:szCs w:val="20"/>
        </w:rPr>
        <w:t>Para la evaluación y análisis, los indicadores se agrupan por objetivo de calidad, por proceso, por proyecto y por dependencia.</w:t>
      </w:r>
    </w:p>
    <w:p w14:paraId="71CC0FF8" w14:textId="77777777" w:rsidR="00775354" w:rsidRDefault="00775354">
      <w:pPr>
        <w:jc w:val="both"/>
        <w:rPr>
          <w:rFonts w:ascii="Arial" w:eastAsia="Arial" w:hAnsi="Arial" w:cs="Arial"/>
          <w:i/>
          <w:color w:val="44546A"/>
          <w:sz w:val="20"/>
          <w:szCs w:val="20"/>
        </w:rPr>
      </w:pPr>
    </w:p>
    <w:p w14:paraId="3C8D9907" w14:textId="77777777" w:rsidR="00775354" w:rsidRDefault="00610FF5">
      <w:pPr>
        <w:pStyle w:val="Ttulo1"/>
        <w:numPr>
          <w:ilvl w:val="0"/>
          <w:numId w:val="2"/>
        </w:numPr>
        <w:jc w:val="both"/>
        <w:rPr>
          <w:rFonts w:ascii="Arial" w:eastAsia="Arial" w:hAnsi="Arial" w:cs="Arial"/>
          <w:sz w:val="20"/>
          <w:szCs w:val="20"/>
        </w:rPr>
      </w:pPr>
      <w:bookmarkStart w:id="1" w:name="_heading=h.30j0zll" w:colFirst="0" w:colLast="0"/>
      <w:bookmarkEnd w:id="1"/>
      <w:r>
        <w:rPr>
          <w:rFonts w:ascii="Arial" w:eastAsia="Arial" w:hAnsi="Arial" w:cs="Arial"/>
          <w:sz w:val="20"/>
          <w:szCs w:val="20"/>
        </w:rPr>
        <w:t>Metodología</w:t>
      </w:r>
    </w:p>
    <w:p w14:paraId="1F3465CE"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Evidenciar los avances en la gestión de los proyectos, metas y en general de las actividades propias de la SDA permite, de manera oportuna, establecer y analizar las causas que interfieren en el cumplimiento de estas y a la vez adelantar las acciones de mejora que faciliten el logro de los objetivos propuestos. </w:t>
      </w:r>
    </w:p>
    <w:p w14:paraId="38325585"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En este sentido, la evaluación de la gestión se adelanta mediante el monitoreo de las metas y actividades programadas y de la medición de sus indicadores mes a mes conforme la programación establecida al inicio de cada vigencia. El análisis de la información, reportada por las áreas responsables de su ejecución, permite determinar tanto el porcentaje de avance mensual, como el cumplimiento acumulado al mes de reporte y en la vigencia.                                                                                                                                                                                                                                                                                                                                                                                                                                                                                                                                                                                                                                                                                                                                                                                                                                                                                                                                                                                                                                                                                                                                                                                                                                                                                                                                                                                                                                                                                                                                                                                                                                                                                                                                                                                                                                                                                                                                                                                                                                                                                                                                                                                                                                                                                                                                      </w:t>
      </w:r>
    </w:p>
    <w:p w14:paraId="7E07A64E" w14:textId="77777777" w:rsidR="00775354" w:rsidRDefault="00610FF5">
      <w:pPr>
        <w:jc w:val="both"/>
        <w:rPr>
          <w:rFonts w:ascii="Arial" w:eastAsia="Arial" w:hAnsi="Arial" w:cs="Arial"/>
          <w:sz w:val="20"/>
          <w:szCs w:val="20"/>
        </w:rPr>
      </w:pPr>
      <w:r>
        <w:rPr>
          <w:rFonts w:ascii="Arial" w:eastAsia="Arial" w:hAnsi="Arial" w:cs="Arial"/>
          <w:sz w:val="20"/>
          <w:szCs w:val="20"/>
        </w:rPr>
        <w:t>La evaluación de la gestión de la entidad se realiza en el marco de la estructura por procesos establecida en el plan estratégico de la entidad en la que se identifican claramente los procesos Estratégico, Misional, de Apoyo y de Evaluación y control, a los cuales se les otorgó un peso ponderado, cuya medición aporta al cumplimiento de los objetivos institucionales, dependiendo la incidencia de cada uno en el logro de estos.</w:t>
      </w:r>
    </w:p>
    <w:p w14:paraId="0683FA1F" w14:textId="77777777" w:rsidR="00775354" w:rsidRDefault="00610FF5">
      <w:pPr>
        <w:jc w:val="both"/>
        <w:rPr>
          <w:rFonts w:ascii="Arial" w:eastAsia="Arial" w:hAnsi="Arial" w:cs="Arial"/>
          <w:sz w:val="20"/>
          <w:szCs w:val="20"/>
        </w:rPr>
      </w:pPr>
      <w:r>
        <w:rPr>
          <w:rFonts w:ascii="Arial" w:eastAsia="Arial" w:hAnsi="Arial" w:cs="Arial"/>
          <w:sz w:val="20"/>
          <w:szCs w:val="20"/>
        </w:rPr>
        <w:t>Para interpretar la calificación de los indicadores se tienen en cuenta los siguientes intervalos</w:t>
      </w:r>
    </w:p>
    <w:p w14:paraId="101F2D70" w14:textId="77777777" w:rsidR="00775354" w:rsidRDefault="00775354">
      <w:pPr>
        <w:jc w:val="both"/>
        <w:rPr>
          <w:rFonts w:ascii="Arial" w:eastAsia="Arial" w:hAnsi="Arial" w:cs="Arial"/>
          <w:sz w:val="20"/>
          <w:szCs w:val="20"/>
        </w:rPr>
      </w:pPr>
    </w:p>
    <w:p w14:paraId="171EE1AE" w14:textId="77777777" w:rsidR="00775354" w:rsidRDefault="00610FF5">
      <w:pPr>
        <w:jc w:val="both"/>
        <w:rPr>
          <w:rFonts w:ascii="Arial" w:eastAsia="Arial" w:hAnsi="Arial" w:cs="Arial"/>
          <w:sz w:val="20"/>
          <w:szCs w:val="20"/>
        </w:rPr>
      </w:pPr>
      <w:r>
        <w:rPr>
          <w:rFonts w:ascii="Arial" w:eastAsia="Arial" w:hAnsi="Arial" w:cs="Arial"/>
          <w:noProof/>
          <w:sz w:val="20"/>
          <w:szCs w:val="20"/>
        </w:rPr>
        <mc:AlternateContent>
          <mc:Choice Requires="wpg">
            <w:drawing>
              <wp:anchor distT="0" distB="0" distL="114300" distR="114300" simplePos="0" relativeHeight="251667456" behindDoc="0" locked="0" layoutInCell="1" hidden="0" allowOverlap="1" wp14:anchorId="0D55EAC6" wp14:editId="4F96C284">
                <wp:simplePos x="0" y="0"/>
                <wp:positionH relativeFrom="margin">
                  <wp:align>center</wp:align>
                </wp:positionH>
                <wp:positionV relativeFrom="margin">
                  <wp:posOffset>7494320</wp:posOffset>
                </wp:positionV>
                <wp:extent cx="2834005" cy="987425"/>
                <wp:effectExtent l="0" t="0" r="4445" b="3175"/>
                <wp:wrapSquare wrapText="bothSides" distT="0" distB="0" distL="114300" distR="114300"/>
                <wp:docPr id="42" name="Grupo 42"/>
                <wp:cNvGraphicFramePr/>
                <a:graphic xmlns:a="http://schemas.openxmlformats.org/drawingml/2006/main">
                  <a:graphicData uri="http://schemas.microsoft.com/office/word/2010/wordprocessingGroup">
                    <wpg:wgp>
                      <wpg:cNvGrpSpPr/>
                      <wpg:grpSpPr>
                        <a:xfrm>
                          <a:off x="0" y="0"/>
                          <a:ext cx="2834224" cy="987425"/>
                          <a:chOff x="0" y="0"/>
                          <a:chExt cx="2834221" cy="987863"/>
                        </a:xfrm>
                      </wpg:grpSpPr>
                      <wpg:grpSp>
                        <wpg:cNvPr id="1" name="Grupo 1"/>
                        <wpg:cNvGrpSpPr/>
                        <wpg:grpSpPr>
                          <a:xfrm>
                            <a:off x="0" y="0"/>
                            <a:ext cx="2834221" cy="987863"/>
                            <a:chOff x="0" y="0"/>
                            <a:chExt cx="2834221" cy="987863"/>
                          </a:xfrm>
                        </wpg:grpSpPr>
                        <wps:wsp>
                          <wps:cNvPr id="2" name="Rectángulo 2"/>
                          <wps:cNvSpPr/>
                          <wps:spPr>
                            <a:xfrm>
                              <a:off x="0" y="0"/>
                              <a:ext cx="2731475" cy="987850"/>
                            </a:xfrm>
                            <a:prstGeom prst="rect">
                              <a:avLst/>
                            </a:prstGeom>
                            <a:noFill/>
                            <a:ln>
                              <a:noFill/>
                            </a:ln>
                          </wps:spPr>
                          <wps:txbx>
                            <w:txbxContent>
                              <w:p w14:paraId="0B8D2E4D"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3" name="Flecha: pentágono 3"/>
                          <wps:cNvSpPr/>
                          <wps:spPr>
                            <a:xfrm rot="10800000">
                              <a:off x="632815" y="17576"/>
                              <a:ext cx="2183969" cy="278802"/>
                            </a:xfrm>
                            <a:prstGeom prst="homePlate">
                              <a:avLst>
                                <a:gd name="adj" fmla="val 50000"/>
                              </a:avLst>
                            </a:prstGeom>
                            <a:solidFill>
                              <a:srgbClr val="66CC00"/>
                            </a:solidFill>
                            <a:ln>
                              <a:noFill/>
                            </a:ln>
                          </wps:spPr>
                          <wps:txbx>
                            <w:txbxContent>
                              <w:p w14:paraId="2E304D44"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4" name="Cuadro de texto 4"/>
                          <wps:cNvSpPr txBox="1"/>
                          <wps:spPr>
                            <a:xfrm>
                              <a:off x="426291" y="14518"/>
                              <a:ext cx="2114269" cy="278802"/>
                            </a:xfrm>
                            <a:prstGeom prst="rect">
                              <a:avLst/>
                            </a:prstGeom>
                            <a:noFill/>
                            <a:ln>
                              <a:noFill/>
                            </a:ln>
                          </wps:spPr>
                          <wps:txbx>
                            <w:txbxContent>
                              <w:p w14:paraId="3A88C249" w14:textId="77777777" w:rsidR="00775354" w:rsidRDefault="00610FF5">
                                <w:pPr>
                                  <w:spacing w:after="0" w:line="215" w:lineRule="auto"/>
                                  <w:jc w:val="center"/>
                                  <w:textDirection w:val="btLr"/>
                                </w:pPr>
                                <w:r>
                                  <w:rPr>
                                    <w:color w:val="000000"/>
                                    <w:sz w:val="28"/>
                                  </w:rPr>
                                  <w:t>Mayor igual 70,01</w:t>
                                </w:r>
                              </w:p>
                            </w:txbxContent>
                          </wps:txbx>
                          <wps:bodyPr spcFirstLastPara="1" wrap="square" lIns="122925" tIns="53325" rIns="99550" bIns="53325" anchor="ctr" anchorCtr="0">
                            <a:noAutofit/>
                          </wps:bodyPr>
                        </wps:wsp>
                        <wps:wsp>
                          <wps:cNvPr id="5" name="Elipse 5"/>
                          <wps:cNvSpPr/>
                          <wps:spPr>
                            <a:xfrm>
                              <a:off x="318121" y="480"/>
                              <a:ext cx="278802" cy="278802"/>
                            </a:xfrm>
                            <a:prstGeom prst="ellipse">
                              <a:avLst/>
                            </a:prstGeom>
                            <a:solidFill>
                              <a:srgbClr val="66CC00"/>
                            </a:solidFill>
                            <a:ln>
                              <a:noFill/>
                            </a:ln>
                          </wps:spPr>
                          <wps:txbx>
                            <w:txbxContent>
                              <w:p w14:paraId="2449FB1F"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6" name="Flecha: pentágono 6"/>
                          <wps:cNvSpPr/>
                          <wps:spPr>
                            <a:xfrm rot="10800000">
                              <a:off x="599713" y="354530"/>
                              <a:ext cx="2201462" cy="278802"/>
                            </a:xfrm>
                            <a:prstGeom prst="homePlate">
                              <a:avLst>
                                <a:gd name="adj" fmla="val 50000"/>
                              </a:avLst>
                            </a:prstGeom>
                            <a:solidFill>
                              <a:srgbClr val="FFFF00"/>
                            </a:solidFill>
                            <a:ln>
                              <a:noFill/>
                            </a:ln>
                          </wps:spPr>
                          <wps:txbx>
                            <w:txbxContent>
                              <w:p w14:paraId="6A8B4E8A"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7" name="Cuadro de texto 7"/>
                          <wps:cNvSpPr txBox="1"/>
                          <wps:spPr>
                            <a:xfrm>
                              <a:off x="599713" y="354530"/>
                              <a:ext cx="2131762" cy="278802"/>
                            </a:xfrm>
                            <a:prstGeom prst="rect">
                              <a:avLst/>
                            </a:prstGeom>
                            <a:noFill/>
                            <a:ln>
                              <a:noFill/>
                            </a:ln>
                          </wps:spPr>
                          <wps:txbx>
                            <w:txbxContent>
                              <w:p w14:paraId="235A7FE1" w14:textId="77777777" w:rsidR="00775354" w:rsidRDefault="00610FF5">
                                <w:pPr>
                                  <w:spacing w:after="0" w:line="215" w:lineRule="auto"/>
                                  <w:jc w:val="center"/>
                                  <w:textDirection w:val="btLr"/>
                                </w:pPr>
                                <w:r>
                                  <w:rPr>
                                    <w:color w:val="548135"/>
                                    <w:sz w:val="28"/>
                                  </w:rPr>
                                  <w:t>Entre 55,01 y 70</w:t>
                                </w:r>
                              </w:p>
                            </w:txbxContent>
                          </wps:txbx>
                          <wps:bodyPr spcFirstLastPara="1" wrap="square" lIns="122925" tIns="53325" rIns="99550" bIns="53325" anchor="ctr" anchorCtr="0">
                            <a:noAutofit/>
                          </wps:bodyPr>
                        </wps:wsp>
                        <wps:wsp>
                          <wps:cNvPr id="8" name="Elipse 8"/>
                          <wps:cNvSpPr/>
                          <wps:spPr>
                            <a:xfrm>
                              <a:off x="318121" y="354530"/>
                              <a:ext cx="278802" cy="278802"/>
                            </a:xfrm>
                            <a:prstGeom prst="ellipse">
                              <a:avLst/>
                            </a:prstGeom>
                            <a:solidFill>
                              <a:srgbClr val="FFFF00"/>
                            </a:solidFill>
                            <a:ln>
                              <a:noFill/>
                            </a:ln>
                          </wps:spPr>
                          <wps:txbx>
                            <w:txbxContent>
                              <w:p w14:paraId="35593AFA"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9" name="Flecha: pentágono 9"/>
                          <wps:cNvSpPr/>
                          <wps:spPr>
                            <a:xfrm rot="10800000">
                              <a:off x="616956" y="709061"/>
                              <a:ext cx="2217265" cy="278802"/>
                            </a:xfrm>
                            <a:prstGeom prst="homePlate">
                              <a:avLst>
                                <a:gd name="adj" fmla="val 50000"/>
                              </a:avLst>
                            </a:prstGeom>
                            <a:solidFill>
                              <a:srgbClr val="FF0000"/>
                            </a:solidFill>
                            <a:ln>
                              <a:noFill/>
                            </a:ln>
                          </wps:spPr>
                          <wps:txbx>
                            <w:txbxContent>
                              <w:p w14:paraId="7A875D96"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10" name="Cuadro de texto 10"/>
                          <wps:cNvSpPr txBox="1"/>
                          <wps:spPr>
                            <a:xfrm>
                              <a:off x="616956" y="708580"/>
                              <a:ext cx="2147565" cy="278802"/>
                            </a:xfrm>
                            <a:prstGeom prst="rect">
                              <a:avLst/>
                            </a:prstGeom>
                            <a:noFill/>
                            <a:ln>
                              <a:noFill/>
                            </a:ln>
                          </wps:spPr>
                          <wps:txbx>
                            <w:txbxContent>
                              <w:p w14:paraId="3E4C4120" w14:textId="77777777" w:rsidR="00775354" w:rsidRDefault="00610FF5">
                                <w:pPr>
                                  <w:spacing w:after="0" w:line="215" w:lineRule="auto"/>
                                  <w:jc w:val="center"/>
                                  <w:textDirection w:val="btLr"/>
                                </w:pPr>
                                <w:r>
                                  <w:rPr>
                                    <w:color w:val="000000"/>
                                    <w:sz w:val="28"/>
                                  </w:rPr>
                                  <w:t>Menor igual a 55</w:t>
                                </w:r>
                              </w:p>
                            </w:txbxContent>
                          </wps:txbx>
                          <wps:bodyPr spcFirstLastPara="1" wrap="square" lIns="122925" tIns="53325" rIns="99550" bIns="53325" anchor="ctr" anchorCtr="0">
                            <a:noAutofit/>
                          </wps:bodyPr>
                        </wps:wsp>
                        <wps:wsp>
                          <wps:cNvPr id="11" name="Elipse 11"/>
                          <wps:cNvSpPr/>
                          <wps:spPr>
                            <a:xfrm>
                              <a:off x="318121" y="708580"/>
                              <a:ext cx="278802" cy="278802"/>
                            </a:xfrm>
                            <a:prstGeom prst="ellipse">
                              <a:avLst/>
                            </a:prstGeom>
                            <a:solidFill>
                              <a:srgbClr val="FF0000"/>
                            </a:solidFill>
                            <a:ln>
                              <a:noFill/>
                            </a:ln>
                          </wps:spPr>
                          <wps:txbx>
                            <w:txbxContent>
                              <w:p w14:paraId="40E2236F"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g:grpSp>
                    </wpg:wgp>
                  </a:graphicData>
                </a:graphic>
                <wp14:sizeRelH relativeFrom="margin">
                  <wp14:pctWidth>0</wp14:pctWidth>
                </wp14:sizeRelH>
              </wp:anchor>
            </w:drawing>
          </mc:Choice>
          <mc:Fallback>
            <w:pict>
              <v:group w14:anchorId="0D55EAC6" id="Grupo 42" o:spid="_x0000_s1031" style="position:absolute;left:0;text-align:left;margin-left:0;margin-top:590.1pt;width:223.15pt;height:77.75pt;z-index:251667456;mso-position-horizontal:center;mso-position-horizontal-relative:margin;mso-position-vertical-relative:margin;mso-width-relative:margin" coordsize="28342,9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">
                <v:group id="Grupo 1" o:spid="_x0000_s1032" style="position:absolute;width:28342;height:9878" coordsize="28342,9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33" style="position:absolute;width:27314;height:9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B8D2E4D" w14:textId="77777777" w:rsidR="00775354" w:rsidRDefault="00775354">
                          <w:pPr>
                            <w:spacing w:after="0" w:line="240" w:lineRule="auto"/>
                            <w:textDirection w:val="btLr"/>
                          </w:pP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3" o:spid="_x0000_s1034" type="#_x0000_t15" style="position:absolute;left:6328;top:175;width:21839;height:2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" adj="20221" fillcolor="#6c0" stroked="f">
                    <v:textbox inset="2.53958mm,2.53958mm,2.53958mm,2.53958mm">
                      <w:txbxContent>
                        <w:p w14:paraId="2E304D44" w14:textId="77777777" w:rsidR="00775354" w:rsidRDefault="00775354">
                          <w:pPr>
                            <w:spacing w:after="0" w:line="240" w:lineRule="auto"/>
                            <w:textDirection w:val="btLr"/>
                          </w:pPr>
                        </w:p>
                      </w:txbxContent>
                    </v:textbox>
                  </v:shape>
                  <v:shapetype id="_x0000_t202" coordsize="21600,21600" o:spt="202" path="m,l,21600r21600,l21600,xe">
                    <v:stroke joinstyle="miter"/>
                    <v:path gradientshapeok="t" o:connecttype="rect"/>
                  </v:shapetype>
                  <v:shape id="Cuadro de texto 4" o:spid="_x0000_s1035" type="#_x0000_t202" style="position:absolute;left:4262;top:145;width:21143;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" filled="f" stroked="f">
                    <v:textbox inset="3.41458mm,1.48125mm,2.76528mm,1.48125mm">
                      <w:txbxContent>
                        <w:p w14:paraId="3A88C249" w14:textId="77777777" w:rsidR="00775354" w:rsidRDefault="00610FF5">
                          <w:pPr>
                            <w:spacing w:after="0" w:line="215" w:lineRule="auto"/>
                            <w:jc w:val="center"/>
                            <w:textDirection w:val="btLr"/>
                          </w:pPr>
                          <w:r>
                            <w:rPr>
                              <w:color w:val="000000"/>
                              <w:sz w:val="28"/>
                            </w:rPr>
                            <w:t>Mayor igual 70,01</w:t>
                          </w:r>
                        </w:p>
                      </w:txbxContent>
                    </v:textbox>
                  </v:shape>
                  <v:oval id="Elipse 5" o:spid="_x0000_s1036" style="position:absolute;left:3181;top:4;width:2788;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" fillcolor="#6c0" stroked="f">
                    <v:textbox inset="2.53958mm,2.53958mm,2.53958mm,2.53958mm">
                      <w:txbxContent>
                        <w:p w14:paraId="2449FB1F" w14:textId="77777777" w:rsidR="00775354" w:rsidRDefault="00775354">
                          <w:pPr>
                            <w:spacing w:after="0" w:line="240" w:lineRule="auto"/>
                            <w:textDirection w:val="btLr"/>
                          </w:pPr>
                        </w:p>
                      </w:txbxContent>
                    </v:textbox>
                  </v:oval>
                  <v:shape id="Flecha: pentágono 6" o:spid="_x0000_s1037" type="#_x0000_t15" style="position:absolute;left:5997;top:3545;width:22014;height:2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" adj="20232" fillcolor="yellow" stroked="f">
                    <v:textbox inset="2.53958mm,2.53958mm,2.53958mm,2.53958mm">
                      <w:txbxContent>
                        <w:p w14:paraId="6A8B4E8A" w14:textId="77777777" w:rsidR="00775354" w:rsidRDefault="00775354">
                          <w:pPr>
                            <w:spacing w:after="0" w:line="240" w:lineRule="auto"/>
                            <w:textDirection w:val="btLr"/>
                          </w:pPr>
                        </w:p>
                      </w:txbxContent>
                    </v:textbox>
                  </v:shape>
                  <v:shape id="Cuadro de texto 7" o:spid="_x0000_s1038" type="#_x0000_t202" style="position:absolute;left:5997;top:3545;width:21317;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" filled="f" stroked="f">
                    <v:textbox inset="3.41458mm,1.48125mm,2.76528mm,1.48125mm">
                      <w:txbxContent>
                        <w:p w14:paraId="235A7FE1" w14:textId="77777777" w:rsidR="00775354" w:rsidRDefault="00610FF5">
                          <w:pPr>
                            <w:spacing w:after="0" w:line="215" w:lineRule="auto"/>
                            <w:jc w:val="center"/>
                            <w:textDirection w:val="btLr"/>
                          </w:pPr>
                          <w:r>
                            <w:rPr>
                              <w:color w:val="548135"/>
                              <w:sz w:val="28"/>
                            </w:rPr>
                            <w:t>Entre 55,01 y 70</w:t>
                          </w:r>
                        </w:p>
                      </w:txbxContent>
                    </v:textbox>
                  </v:shape>
                  <v:oval id="Elipse 8" o:spid="_x0000_s1039" style="position:absolute;left:3181;top:3545;width:2788;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" fillcolor="yellow" stroked="f">
                    <v:textbox inset="2.53958mm,2.53958mm,2.53958mm,2.53958mm">
                      <w:txbxContent>
                        <w:p w14:paraId="35593AFA" w14:textId="77777777" w:rsidR="00775354" w:rsidRDefault="00775354">
                          <w:pPr>
                            <w:spacing w:after="0" w:line="240" w:lineRule="auto"/>
                            <w:textDirection w:val="btLr"/>
                          </w:pPr>
                        </w:p>
                      </w:txbxContent>
                    </v:textbox>
                  </v:oval>
                  <v:shape id="Flecha: pentágono 9" o:spid="_x0000_s1040" type="#_x0000_t15" style="position:absolute;left:6169;top:7090;width:22173;height:2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" adj="20242" fillcolor="red" stroked="f">
                    <v:textbox inset="2.53958mm,2.53958mm,2.53958mm,2.53958mm">
                      <w:txbxContent>
                        <w:p w14:paraId="7A875D96" w14:textId="77777777" w:rsidR="00775354" w:rsidRDefault="00775354">
                          <w:pPr>
                            <w:spacing w:after="0" w:line="240" w:lineRule="auto"/>
                            <w:textDirection w:val="btLr"/>
                          </w:pPr>
                        </w:p>
                      </w:txbxContent>
                    </v:textbox>
                  </v:shape>
                  <v:shape id="Cuadro de texto 10" o:spid="_x0000_s1041" type="#_x0000_t202" style="position:absolute;left:6169;top:7085;width:21476;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" filled="f" stroked="f">
                    <v:textbox inset="3.41458mm,1.48125mm,2.76528mm,1.48125mm">
                      <w:txbxContent>
                        <w:p w14:paraId="3E4C4120" w14:textId="77777777" w:rsidR="00775354" w:rsidRDefault="00610FF5">
                          <w:pPr>
                            <w:spacing w:after="0" w:line="215" w:lineRule="auto"/>
                            <w:jc w:val="center"/>
                            <w:textDirection w:val="btLr"/>
                          </w:pPr>
                          <w:r>
                            <w:rPr>
                              <w:color w:val="000000"/>
                              <w:sz w:val="28"/>
                            </w:rPr>
                            <w:t>Menor igual a 55</w:t>
                          </w:r>
                        </w:p>
                      </w:txbxContent>
                    </v:textbox>
                  </v:shape>
                  <v:oval id="Elipse 11" o:spid="_x0000_s1042" style="position:absolute;left:3181;top:7085;width:2788;height: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" fillcolor="red" stroked="f">
                    <v:textbox inset="2.53958mm,2.53958mm,2.53958mm,2.53958mm">
                      <w:txbxContent>
                        <w:p w14:paraId="40E2236F" w14:textId="77777777" w:rsidR="00775354" w:rsidRDefault="00775354">
                          <w:pPr>
                            <w:spacing w:after="0" w:line="240" w:lineRule="auto"/>
                            <w:textDirection w:val="btLr"/>
                          </w:pPr>
                        </w:p>
                      </w:txbxContent>
                    </v:textbox>
                  </v:oval>
                </v:group>
                <w10:wrap type="square" anchorx="margin" anchory="margin"/>
              </v:group>
            </w:pict>
          </mc:Fallback>
        </mc:AlternateContent>
      </w:r>
    </w:p>
    <w:p w14:paraId="16C48856" w14:textId="77777777" w:rsidR="00775354" w:rsidRDefault="00610FF5">
      <w:pPr>
        <w:pStyle w:val="Ttulo1"/>
        <w:numPr>
          <w:ilvl w:val="0"/>
          <w:numId w:val="2"/>
        </w:numPr>
        <w:rPr>
          <w:rFonts w:ascii="Arial" w:eastAsia="Arial" w:hAnsi="Arial" w:cs="Arial"/>
          <w:sz w:val="20"/>
          <w:szCs w:val="20"/>
        </w:rPr>
      </w:pPr>
      <w:bookmarkStart w:id="2" w:name="_heading=h.1fob9te" w:colFirst="0" w:colLast="0"/>
      <w:bookmarkEnd w:id="2"/>
      <w:r>
        <w:rPr>
          <w:rFonts w:ascii="Arial" w:eastAsia="Arial" w:hAnsi="Arial" w:cs="Arial"/>
          <w:sz w:val="20"/>
          <w:szCs w:val="20"/>
        </w:rPr>
        <w:lastRenderedPageBreak/>
        <w:t>EVALUACIÓN DE LOS INDICADORES DE GESTIÓN POR PROCESO</w:t>
      </w:r>
    </w:p>
    <w:p w14:paraId="0CAF0098" w14:textId="77777777" w:rsidR="00775354" w:rsidRDefault="00775354">
      <w:pPr>
        <w:rPr>
          <w:rFonts w:ascii="Arial" w:eastAsia="Arial" w:hAnsi="Arial" w:cs="Arial"/>
          <w:sz w:val="20"/>
          <w:szCs w:val="20"/>
        </w:rPr>
      </w:pPr>
    </w:p>
    <w:p w14:paraId="30B68749" w14:textId="77777777" w:rsidR="00775354" w:rsidRDefault="00610FF5">
      <w:pPr>
        <w:rPr>
          <w:rFonts w:ascii="Arial" w:eastAsia="Arial" w:hAnsi="Arial" w:cs="Arial"/>
          <w:sz w:val="20"/>
          <w:szCs w:val="20"/>
        </w:rPr>
      </w:pPr>
      <w:r>
        <w:rPr>
          <w:rFonts w:ascii="Arial" w:eastAsia="Arial" w:hAnsi="Arial" w:cs="Arial"/>
          <w:sz w:val="20"/>
          <w:szCs w:val="20"/>
        </w:rPr>
        <w:t>En el mapa de proceso de la entidad, todas las actividades de gestión son enmarcadas en cuatro (4) macro procesos relacionados a continuación:</w:t>
      </w:r>
    </w:p>
    <w:p w14:paraId="6570BA9B" w14:textId="77777777" w:rsidR="00775354" w:rsidRDefault="00610FF5">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Misional</w:t>
      </w:r>
    </w:p>
    <w:p w14:paraId="30B3CA44" w14:textId="77777777" w:rsidR="00775354" w:rsidRDefault="00610FF5">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Estratégico</w:t>
      </w:r>
    </w:p>
    <w:p w14:paraId="7C635323" w14:textId="77777777" w:rsidR="00775354" w:rsidRDefault="00610FF5">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Apoyo</w:t>
      </w:r>
    </w:p>
    <w:p w14:paraId="09796E03" w14:textId="77777777" w:rsidR="00775354" w:rsidRDefault="00610FF5">
      <w:pPr>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Control y Evaluación</w:t>
      </w:r>
    </w:p>
    <w:p w14:paraId="127E2C27" w14:textId="77777777" w:rsidR="00775354" w:rsidRDefault="00775354">
      <w:pPr>
        <w:rPr>
          <w:rFonts w:ascii="Arial" w:eastAsia="Arial" w:hAnsi="Arial" w:cs="Arial"/>
          <w:sz w:val="20"/>
          <w:szCs w:val="20"/>
        </w:rPr>
      </w:pPr>
    </w:p>
    <w:p w14:paraId="0D709D74" w14:textId="77777777" w:rsidR="00775354" w:rsidRDefault="00775354">
      <w:pPr>
        <w:rPr>
          <w:rFonts w:ascii="Arial" w:eastAsia="Arial" w:hAnsi="Arial" w:cs="Arial"/>
          <w:sz w:val="20"/>
          <w:szCs w:val="20"/>
        </w:rPr>
      </w:pPr>
    </w:p>
    <w:p w14:paraId="345510FB" w14:textId="77777777" w:rsidR="00775354" w:rsidRDefault="00610FF5">
      <w:pPr>
        <w:pStyle w:val="Ttulo2"/>
        <w:numPr>
          <w:ilvl w:val="1"/>
          <w:numId w:val="2"/>
        </w:numPr>
        <w:rPr>
          <w:rFonts w:ascii="Arial" w:eastAsia="Arial" w:hAnsi="Arial" w:cs="Arial"/>
          <w:sz w:val="20"/>
          <w:szCs w:val="20"/>
        </w:rPr>
      </w:pPr>
      <w:bookmarkStart w:id="3" w:name="_heading=h.3znysh7" w:colFirst="0" w:colLast="0"/>
      <w:bookmarkEnd w:id="3"/>
      <w:r>
        <w:rPr>
          <w:rFonts w:ascii="Arial" w:eastAsia="Arial" w:hAnsi="Arial" w:cs="Arial"/>
          <w:sz w:val="20"/>
          <w:szCs w:val="20"/>
        </w:rPr>
        <w:t>Mapa de Procesos</w:t>
      </w:r>
    </w:p>
    <w:p w14:paraId="3E793C9C" w14:textId="77777777" w:rsidR="00775354" w:rsidRDefault="00610FF5">
      <w:pPr>
        <w:rPr>
          <w:rFonts w:ascii="Arial" w:eastAsia="Arial" w:hAnsi="Arial" w:cs="Arial"/>
          <w:sz w:val="20"/>
          <w:szCs w:val="20"/>
        </w:rPr>
      </w:pPr>
      <w:r>
        <w:rPr>
          <w:noProof/>
        </w:rPr>
        <w:drawing>
          <wp:anchor distT="0" distB="0" distL="114300" distR="114300" simplePos="0" relativeHeight="251668480" behindDoc="0" locked="0" layoutInCell="1" hidden="0" allowOverlap="1" wp14:anchorId="3E871353" wp14:editId="5EFD3E1A">
            <wp:simplePos x="0" y="0"/>
            <wp:positionH relativeFrom="column">
              <wp:posOffset>1</wp:posOffset>
            </wp:positionH>
            <wp:positionV relativeFrom="paragraph">
              <wp:posOffset>198120</wp:posOffset>
            </wp:positionV>
            <wp:extent cx="6373652" cy="5734836"/>
            <wp:effectExtent l="0" t="0" r="0" b="0"/>
            <wp:wrapNone/>
            <wp:docPr id="5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l="26794" t="10590" r="27913" b="16924"/>
                    <a:stretch>
                      <a:fillRect/>
                    </a:stretch>
                  </pic:blipFill>
                  <pic:spPr>
                    <a:xfrm>
                      <a:off x="0" y="0"/>
                      <a:ext cx="6373652" cy="5734836"/>
                    </a:xfrm>
                    <a:prstGeom prst="rect">
                      <a:avLst/>
                    </a:prstGeom>
                    <a:ln/>
                  </pic:spPr>
                </pic:pic>
              </a:graphicData>
            </a:graphic>
          </wp:anchor>
        </w:drawing>
      </w:r>
    </w:p>
    <w:p w14:paraId="4C16F4D4" w14:textId="77777777" w:rsidR="00775354" w:rsidRDefault="00775354">
      <w:pPr>
        <w:rPr>
          <w:rFonts w:ascii="Arial" w:eastAsia="Arial" w:hAnsi="Arial" w:cs="Arial"/>
          <w:sz w:val="20"/>
          <w:szCs w:val="20"/>
        </w:rPr>
      </w:pPr>
    </w:p>
    <w:p w14:paraId="27BB3FC9" w14:textId="77777777" w:rsidR="00775354" w:rsidRDefault="00775354">
      <w:pPr>
        <w:rPr>
          <w:rFonts w:ascii="Arial" w:eastAsia="Arial" w:hAnsi="Arial" w:cs="Arial"/>
          <w:sz w:val="20"/>
          <w:szCs w:val="20"/>
        </w:rPr>
      </w:pPr>
    </w:p>
    <w:p w14:paraId="558AC288" w14:textId="77777777" w:rsidR="00775354" w:rsidRDefault="00775354">
      <w:pPr>
        <w:rPr>
          <w:rFonts w:ascii="Arial" w:eastAsia="Arial" w:hAnsi="Arial" w:cs="Arial"/>
          <w:sz w:val="20"/>
          <w:szCs w:val="20"/>
        </w:rPr>
      </w:pPr>
    </w:p>
    <w:p w14:paraId="4755C44E" w14:textId="77777777" w:rsidR="00775354" w:rsidRDefault="00775354">
      <w:pPr>
        <w:rPr>
          <w:rFonts w:ascii="Arial" w:eastAsia="Arial" w:hAnsi="Arial" w:cs="Arial"/>
          <w:sz w:val="20"/>
          <w:szCs w:val="20"/>
        </w:rPr>
      </w:pPr>
    </w:p>
    <w:p w14:paraId="4058C990" w14:textId="77777777" w:rsidR="00775354" w:rsidRDefault="00775354">
      <w:pPr>
        <w:rPr>
          <w:rFonts w:ascii="Arial" w:eastAsia="Arial" w:hAnsi="Arial" w:cs="Arial"/>
          <w:sz w:val="20"/>
          <w:szCs w:val="20"/>
        </w:rPr>
      </w:pPr>
    </w:p>
    <w:p w14:paraId="2939825D" w14:textId="77777777" w:rsidR="00775354" w:rsidRDefault="00775354">
      <w:pPr>
        <w:rPr>
          <w:rFonts w:ascii="Arial" w:eastAsia="Arial" w:hAnsi="Arial" w:cs="Arial"/>
          <w:sz w:val="20"/>
          <w:szCs w:val="20"/>
        </w:rPr>
      </w:pPr>
    </w:p>
    <w:p w14:paraId="1E4AF697" w14:textId="77777777" w:rsidR="00775354" w:rsidRDefault="00775354">
      <w:pPr>
        <w:rPr>
          <w:rFonts w:ascii="Arial" w:eastAsia="Arial" w:hAnsi="Arial" w:cs="Arial"/>
          <w:sz w:val="20"/>
          <w:szCs w:val="20"/>
        </w:rPr>
      </w:pPr>
    </w:p>
    <w:p w14:paraId="3CE2B94D" w14:textId="77777777" w:rsidR="00775354" w:rsidRDefault="00775354">
      <w:pPr>
        <w:rPr>
          <w:rFonts w:ascii="Arial" w:eastAsia="Arial" w:hAnsi="Arial" w:cs="Arial"/>
          <w:sz w:val="20"/>
          <w:szCs w:val="20"/>
        </w:rPr>
      </w:pPr>
    </w:p>
    <w:p w14:paraId="60EB8C86" w14:textId="77777777" w:rsidR="00775354" w:rsidRDefault="00775354">
      <w:pPr>
        <w:rPr>
          <w:rFonts w:ascii="Arial" w:eastAsia="Arial" w:hAnsi="Arial" w:cs="Arial"/>
          <w:sz w:val="20"/>
          <w:szCs w:val="20"/>
        </w:rPr>
      </w:pPr>
    </w:p>
    <w:p w14:paraId="477ACA72" w14:textId="77777777" w:rsidR="00775354" w:rsidRDefault="00775354">
      <w:pPr>
        <w:rPr>
          <w:rFonts w:ascii="Arial" w:eastAsia="Arial" w:hAnsi="Arial" w:cs="Arial"/>
          <w:sz w:val="20"/>
          <w:szCs w:val="20"/>
        </w:rPr>
      </w:pPr>
    </w:p>
    <w:p w14:paraId="4CB5421E" w14:textId="77777777" w:rsidR="00775354" w:rsidRDefault="00775354">
      <w:pPr>
        <w:rPr>
          <w:rFonts w:ascii="Arial" w:eastAsia="Arial" w:hAnsi="Arial" w:cs="Arial"/>
          <w:sz w:val="20"/>
          <w:szCs w:val="20"/>
        </w:rPr>
      </w:pPr>
    </w:p>
    <w:p w14:paraId="60B65668" w14:textId="77777777" w:rsidR="00775354" w:rsidRDefault="00775354">
      <w:pPr>
        <w:rPr>
          <w:rFonts w:ascii="Arial" w:eastAsia="Arial" w:hAnsi="Arial" w:cs="Arial"/>
          <w:sz w:val="20"/>
          <w:szCs w:val="20"/>
        </w:rPr>
      </w:pPr>
    </w:p>
    <w:p w14:paraId="4E1DC7FF" w14:textId="77777777" w:rsidR="00775354" w:rsidRDefault="00775354">
      <w:pPr>
        <w:rPr>
          <w:rFonts w:ascii="Arial" w:eastAsia="Arial" w:hAnsi="Arial" w:cs="Arial"/>
          <w:sz w:val="20"/>
          <w:szCs w:val="20"/>
        </w:rPr>
      </w:pPr>
    </w:p>
    <w:p w14:paraId="678E50E9" w14:textId="77777777" w:rsidR="00775354" w:rsidRDefault="00775354">
      <w:pPr>
        <w:rPr>
          <w:rFonts w:ascii="Arial" w:eastAsia="Arial" w:hAnsi="Arial" w:cs="Arial"/>
          <w:sz w:val="20"/>
          <w:szCs w:val="20"/>
        </w:rPr>
      </w:pPr>
    </w:p>
    <w:p w14:paraId="59C2DB3A" w14:textId="77777777" w:rsidR="00775354" w:rsidRDefault="00775354">
      <w:pPr>
        <w:rPr>
          <w:rFonts w:ascii="Arial" w:eastAsia="Arial" w:hAnsi="Arial" w:cs="Arial"/>
          <w:sz w:val="20"/>
          <w:szCs w:val="20"/>
        </w:rPr>
      </w:pPr>
    </w:p>
    <w:p w14:paraId="23611F15" w14:textId="77777777" w:rsidR="00775354" w:rsidRDefault="00775354">
      <w:pPr>
        <w:rPr>
          <w:rFonts w:ascii="Arial" w:eastAsia="Arial" w:hAnsi="Arial" w:cs="Arial"/>
          <w:sz w:val="20"/>
          <w:szCs w:val="20"/>
        </w:rPr>
      </w:pPr>
    </w:p>
    <w:p w14:paraId="5FF22864" w14:textId="77777777" w:rsidR="00775354" w:rsidRDefault="00775354">
      <w:pPr>
        <w:rPr>
          <w:rFonts w:ascii="Arial" w:eastAsia="Arial" w:hAnsi="Arial" w:cs="Arial"/>
          <w:sz w:val="20"/>
          <w:szCs w:val="20"/>
        </w:rPr>
      </w:pPr>
    </w:p>
    <w:p w14:paraId="68047445" w14:textId="77777777" w:rsidR="00775354" w:rsidRDefault="00775354">
      <w:pPr>
        <w:rPr>
          <w:rFonts w:ascii="Arial" w:eastAsia="Arial" w:hAnsi="Arial" w:cs="Arial"/>
          <w:sz w:val="20"/>
          <w:szCs w:val="20"/>
        </w:rPr>
      </w:pPr>
    </w:p>
    <w:p w14:paraId="0DED6325" w14:textId="77777777" w:rsidR="00775354" w:rsidRDefault="00610FF5">
      <w:pPr>
        <w:pStyle w:val="Ttulo1"/>
        <w:numPr>
          <w:ilvl w:val="0"/>
          <w:numId w:val="2"/>
        </w:numPr>
        <w:jc w:val="both"/>
        <w:rPr>
          <w:rFonts w:ascii="Arial" w:eastAsia="Arial" w:hAnsi="Arial" w:cs="Arial"/>
          <w:sz w:val="20"/>
          <w:szCs w:val="20"/>
        </w:rPr>
      </w:pPr>
      <w:bookmarkStart w:id="4" w:name="_heading=h.2et92p0" w:colFirst="0" w:colLast="0"/>
      <w:bookmarkEnd w:id="4"/>
      <w:r>
        <w:rPr>
          <w:rFonts w:ascii="Arial" w:eastAsia="Arial" w:hAnsi="Arial" w:cs="Arial"/>
          <w:sz w:val="20"/>
          <w:szCs w:val="20"/>
        </w:rPr>
        <w:t xml:space="preserve">MEDICIÓN DE INDICADORES </w:t>
      </w:r>
    </w:p>
    <w:p w14:paraId="67014161" w14:textId="77777777" w:rsidR="00775354" w:rsidRDefault="00775354">
      <w:pPr>
        <w:rPr>
          <w:rFonts w:ascii="Arial" w:eastAsia="Arial" w:hAnsi="Arial" w:cs="Arial"/>
          <w:sz w:val="20"/>
          <w:szCs w:val="20"/>
        </w:rPr>
      </w:pPr>
    </w:p>
    <w:p w14:paraId="36361642" w14:textId="77777777" w:rsidR="00775354" w:rsidRDefault="00610FF5">
      <w:pPr>
        <w:spacing w:line="240" w:lineRule="auto"/>
        <w:jc w:val="both"/>
        <w:rPr>
          <w:rFonts w:ascii="Arial" w:eastAsia="Arial" w:hAnsi="Arial" w:cs="Arial"/>
          <w:sz w:val="20"/>
          <w:szCs w:val="20"/>
        </w:rPr>
      </w:pPr>
      <w:r>
        <w:rPr>
          <w:rFonts w:ascii="Arial" w:eastAsia="Arial" w:hAnsi="Arial" w:cs="Arial"/>
          <w:sz w:val="20"/>
          <w:szCs w:val="20"/>
        </w:rPr>
        <w:t>Se evaluaron 85 indicadores, de los cuales se puede evidenciar 41 que cumplieron el 100% de las actividades programadas, en el cuadro relacionado a continuación se encuentra la información de los indicadores especificando proceso, área y la descripción del indicador.</w:t>
      </w:r>
    </w:p>
    <w:p w14:paraId="5400AAA8" w14:textId="77777777" w:rsidR="00775354" w:rsidRDefault="00610FF5">
      <w:pPr>
        <w:pStyle w:val="Ttulo2"/>
        <w:numPr>
          <w:ilvl w:val="1"/>
          <w:numId w:val="2"/>
        </w:numPr>
        <w:rPr>
          <w:rFonts w:ascii="Arial" w:eastAsia="Arial" w:hAnsi="Arial" w:cs="Arial"/>
          <w:sz w:val="20"/>
          <w:szCs w:val="20"/>
        </w:rPr>
      </w:pPr>
      <w:bookmarkStart w:id="5" w:name="_heading=h.tyjcwt" w:colFirst="0" w:colLast="0"/>
      <w:bookmarkEnd w:id="5"/>
      <w:r>
        <w:rPr>
          <w:rFonts w:ascii="Arial" w:eastAsia="Arial" w:hAnsi="Arial" w:cs="Arial"/>
          <w:sz w:val="20"/>
          <w:szCs w:val="20"/>
        </w:rPr>
        <w:lastRenderedPageBreak/>
        <w:t>Indicadores con 100% de cumplimiento</w:t>
      </w:r>
    </w:p>
    <w:p w14:paraId="389FD037" w14:textId="77777777" w:rsidR="00775354" w:rsidRDefault="00775354"/>
    <w:p w14:paraId="66039802" w14:textId="5DF02223" w:rsidR="00775354" w:rsidRDefault="00610FF5">
      <w:r>
        <w:t xml:space="preserve">Para el mes de </w:t>
      </w:r>
      <w:r w:rsidR="003533FD">
        <w:t>noviembre</w:t>
      </w:r>
      <w:r>
        <w:t xml:space="preserve"> se evaluaron </w:t>
      </w:r>
      <w:r w:rsidR="003533FD">
        <w:t>41</w:t>
      </w:r>
      <w:r>
        <w:t xml:space="preserve"> indicadores, de los cuales se puede evidenciar 22 que cumplieron el 100% de las actividades programadas, en el cuadro relacionado a continuación se encuentra la información de los indicadores especificando proceso, área y la descripción del indicador.</w:t>
      </w:r>
    </w:p>
    <w:p w14:paraId="32EB7040" w14:textId="77777777" w:rsidR="00775354" w:rsidRDefault="00775354">
      <w:pPr>
        <w:spacing w:after="0" w:line="240" w:lineRule="auto"/>
        <w:rPr>
          <w:rFonts w:ascii="Arial" w:eastAsia="Arial" w:hAnsi="Arial" w:cs="Arial"/>
          <w:sz w:val="20"/>
          <w:szCs w:val="20"/>
        </w:rPr>
      </w:pPr>
    </w:p>
    <w:tbl>
      <w:tblPr>
        <w:tblStyle w:val="a"/>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3088AB3D" w14:textId="77777777">
        <w:tc>
          <w:tcPr>
            <w:tcW w:w="1980" w:type="dxa"/>
            <w:shd w:val="clear" w:color="auto" w:fill="DBDBDB"/>
            <w:vAlign w:val="center"/>
          </w:tcPr>
          <w:p w14:paraId="0D3E13D5"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218B77EC"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7E844C48"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346F6529"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775354" w14:paraId="62C507BD" w14:textId="77777777">
        <w:trPr>
          <w:trHeight w:val="70"/>
        </w:trPr>
        <w:tc>
          <w:tcPr>
            <w:tcW w:w="1980" w:type="dxa"/>
            <w:vMerge w:val="restart"/>
            <w:vAlign w:val="center"/>
          </w:tcPr>
          <w:p w14:paraId="061E18BB"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Ambiental y Desarrollo rural.</w:t>
            </w:r>
          </w:p>
        </w:tc>
        <w:tc>
          <w:tcPr>
            <w:tcW w:w="1843" w:type="dxa"/>
            <w:vMerge w:val="restart"/>
            <w:vAlign w:val="center"/>
          </w:tcPr>
          <w:p w14:paraId="4BA7820B"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de Ecourbanismo y Gestión Ambiental Empresarial</w:t>
            </w:r>
          </w:p>
        </w:tc>
        <w:tc>
          <w:tcPr>
            <w:tcW w:w="3827" w:type="dxa"/>
            <w:vAlign w:val="center"/>
          </w:tcPr>
          <w:p w14:paraId="7434BE1A"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Actas de comités y conceptos realizados para la incorporación de determinantes ambientales en proyectos de infraestructura</w:t>
            </w:r>
          </w:p>
        </w:tc>
        <w:tc>
          <w:tcPr>
            <w:tcW w:w="1276" w:type="dxa"/>
            <w:shd w:val="clear" w:color="auto" w:fill="5CEC14"/>
            <w:vAlign w:val="center"/>
          </w:tcPr>
          <w:p w14:paraId="266DF10B" w14:textId="77777777" w:rsidR="00775354" w:rsidRDefault="00610FF5">
            <w:pPr>
              <w:jc w:val="center"/>
              <w:rPr>
                <w:rFonts w:ascii="Arial" w:eastAsia="Arial" w:hAnsi="Arial" w:cs="Arial"/>
                <w:b/>
                <w:color w:val="000000"/>
                <w:sz w:val="20"/>
                <w:szCs w:val="20"/>
              </w:rPr>
            </w:pPr>
            <w:bookmarkStart w:id="6" w:name="_heading=h.3dy6vkm" w:colFirst="0" w:colLast="0"/>
            <w:bookmarkEnd w:id="6"/>
            <w:r>
              <w:rPr>
                <w:rFonts w:ascii="Arial" w:eastAsia="Arial" w:hAnsi="Arial" w:cs="Arial"/>
                <w:b/>
                <w:color w:val="000000"/>
                <w:sz w:val="20"/>
                <w:szCs w:val="20"/>
              </w:rPr>
              <w:t>100</w:t>
            </w:r>
          </w:p>
        </w:tc>
      </w:tr>
      <w:tr w:rsidR="00775354" w14:paraId="5780398F" w14:textId="77777777">
        <w:trPr>
          <w:trHeight w:val="70"/>
        </w:trPr>
        <w:tc>
          <w:tcPr>
            <w:tcW w:w="1980" w:type="dxa"/>
            <w:vMerge/>
            <w:vAlign w:val="center"/>
          </w:tcPr>
          <w:p w14:paraId="3BC6C83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53FB7E5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722A5DFD"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Número de proyectos de infraestructura verificados en su incorporación de determinantes y lineamientos ambientales</w:t>
            </w:r>
          </w:p>
        </w:tc>
        <w:tc>
          <w:tcPr>
            <w:tcW w:w="1276" w:type="dxa"/>
            <w:shd w:val="clear" w:color="auto" w:fill="5CEC14"/>
            <w:vAlign w:val="center"/>
          </w:tcPr>
          <w:p w14:paraId="5E64AE51"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50C098DC" w14:textId="77777777">
        <w:trPr>
          <w:trHeight w:val="70"/>
        </w:trPr>
        <w:tc>
          <w:tcPr>
            <w:tcW w:w="1980" w:type="dxa"/>
            <w:vMerge/>
            <w:vAlign w:val="center"/>
          </w:tcPr>
          <w:p w14:paraId="6D2CFE82"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722CC014"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39D1AD09" w14:textId="3BC359E2"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 xml:space="preserve">Actividades realizadas para el diseño y la implementación de la Estrategia Distrital de Crecimiento Verde de </w:t>
            </w:r>
            <w:r w:rsidR="00AD5AAC">
              <w:rPr>
                <w:rFonts w:ascii="Arial" w:eastAsia="Arial" w:hAnsi="Arial" w:cs="Arial"/>
                <w:color w:val="000000"/>
                <w:sz w:val="20"/>
                <w:szCs w:val="20"/>
              </w:rPr>
              <w:t>las acciones</w:t>
            </w:r>
            <w:r>
              <w:rPr>
                <w:rFonts w:ascii="Arial" w:eastAsia="Arial" w:hAnsi="Arial" w:cs="Arial"/>
                <w:color w:val="000000"/>
                <w:sz w:val="20"/>
                <w:szCs w:val="20"/>
              </w:rPr>
              <w:t xml:space="preserve"> de competencia de la SDA</w:t>
            </w:r>
          </w:p>
        </w:tc>
        <w:tc>
          <w:tcPr>
            <w:tcW w:w="1276" w:type="dxa"/>
            <w:shd w:val="clear" w:color="auto" w:fill="5CEC14"/>
            <w:vAlign w:val="center"/>
          </w:tcPr>
          <w:p w14:paraId="3BE81028"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203F7F53" w14:textId="77777777">
        <w:trPr>
          <w:trHeight w:val="70"/>
        </w:trPr>
        <w:tc>
          <w:tcPr>
            <w:tcW w:w="1980" w:type="dxa"/>
            <w:vMerge/>
            <w:vAlign w:val="center"/>
          </w:tcPr>
          <w:p w14:paraId="07B510F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48584319"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7D12E37B"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Número de proyectos realizados para la promoción de la economía circular para cerrar el ciclo de vida de los materiales</w:t>
            </w:r>
          </w:p>
        </w:tc>
        <w:tc>
          <w:tcPr>
            <w:tcW w:w="1276" w:type="dxa"/>
            <w:shd w:val="clear" w:color="auto" w:fill="5CEC14"/>
            <w:vAlign w:val="center"/>
          </w:tcPr>
          <w:p w14:paraId="58ADD7E0"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0A5D8E89" w14:textId="77777777">
        <w:trPr>
          <w:trHeight w:val="70"/>
        </w:trPr>
        <w:tc>
          <w:tcPr>
            <w:tcW w:w="1980" w:type="dxa"/>
            <w:vMerge w:val="restart"/>
            <w:vAlign w:val="center"/>
          </w:tcPr>
          <w:p w14:paraId="3F04498D"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Comunicaciones</w:t>
            </w:r>
          </w:p>
        </w:tc>
        <w:tc>
          <w:tcPr>
            <w:tcW w:w="1843" w:type="dxa"/>
            <w:vMerge w:val="restart"/>
            <w:vAlign w:val="center"/>
          </w:tcPr>
          <w:p w14:paraId="22867B1E"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Oficina Asesora de Comunicaciones</w:t>
            </w:r>
          </w:p>
        </w:tc>
        <w:tc>
          <w:tcPr>
            <w:tcW w:w="3827" w:type="dxa"/>
            <w:vAlign w:val="center"/>
          </w:tcPr>
          <w:p w14:paraId="1C2E0006"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Favorabilidad de la imagen de la entidad</w:t>
            </w:r>
          </w:p>
        </w:tc>
        <w:tc>
          <w:tcPr>
            <w:tcW w:w="1276" w:type="dxa"/>
            <w:shd w:val="clear" w:color="auto" w:fill="5CEC14"/>
            <w:vAlign w:val="center"/>
          </w:tcPr>
          <w:p w14:paraId="2BC39CA7"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4E4B8FD4" w14:textId="77777777">
        <w:trPr>
          <w:trHeight w:val="70"/>
        </w:trPr>
        <w:tc>
          <w:tcPr>
            <w:tcW w:w="1980" w:type="dxa"/>
            <w:vMerge/>
            <w:vAlign w:val="center"/>
          </w:tcPr>
          <w:p w14:paraId="4231C568"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0A6F03FF"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5FF8FF9D"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Plan de Comunicaciones 2020 ejecutado</w:t>
            </w:r>
          </w:p>
        </w:tc>
        <w:tc>
          <w:tcPr>
            <w:tcW w:w="1276" w:type="dxa"/>
            <w:shd w:val="clear" w:color="auto" w:fill="5CEC14"/>
            <w:vAlign w:val="center"/>
          </w:tcPr>
          <w:p w14:paraId="6E7309CA"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44D49236" w14:textId="77777777">
        <w:trPr>
          <w:trHeight w:val="70"/>
        </w:trPr>
        <w:tc>
          <w:tcPr>
            <w:tcW w:w="1980" w:type="dxa"/>
            <w:vMerge w:val="restart"/>
            <w:vAlign w:val="center"/>
          </w:tcPr>
          <w:p w14:paraId="43D9A530"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Evaluación, Control y Seguimiento</w:t>
            </w:r>
          </w:p>
          <w:p w14:paraId="0FA2EEDE" w14:textId="77777777" w:rsidR="00775354" w:rsidRDefault="00775354">
            <w:pPr>
              <w:jc w:val="center"/>
              <w:rPr>
                <w:rFonts w:ascii="Arial" w:eastAsia="Arial" w:hAnsi="Arial" w:cs="Arial"/>
                <w:color w:val="000000"/>
                <w:sz w:val="20"/>
                <w:szCs w:val="20"/>
              </w:rPr>
            </w:pPr>
          </w:p>
          <w:p w14:paraId="78B2789C" w14:textId="77777777" w:rsidR="00775354" w:rsidRDefault="00775354">
            <w:pPr>
              <w:jc w:val="center"/>
              <w:rPr>
                <w:rFonts w:ascii="Arial" w:eastAsia="Arial" w:hAnsi="Arial" w:cs="Arial"/>
                <w:color w:val="000000"/>
                <w:sz w:val="20"/>
                <w:szCs w:val="20"/>
              </w:rPr>
            </w:pPr>
          </w:p>
        </w:tc>
        <w:tc>
          <w:tcPr>
            <w:tcW w:w="1843" w:type="dxa"/>
            <w:vMerge w:val="restart"/>
            <w:vAlign w:val="center"/>
          </w:tcPr>
          <w:p w14:paraId="71CA0130"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de Calidad del Aire, Auditiva y Visual.</w:t>
            </w:r>
          </w:p>
        </w:tc>
        <w:tc>
          <w:tcPr>
            <w:tcW w:w="3827" w:type="dxa"/>
            <w:vAlign w:val="center"/>
          </w:tcPr>
          <w:p w14:paraId="6D9C8CD7"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 de representatividad temporal de los datos generados por la Red de Monitoreo de Ruido Ambiental de Bogotá - RMRAB.</w:t>
            </w:r>
          </w:p>
        </w:tc>
        <w:tc>
          <w:tcPr>
            <w:tcW w:w="1276" w:type="dxa"/>
            <w:shd w:val="clear" w:color="auto" w:fill="5CEC14"/>
            <w:vAlign w:val="center"/>
          </w:tcPr>
          <w:p w14:paraId="29D3FE6E"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77CF49C3" w14:textId="77777777">
        <w:trPr>
          <w:trHeight w:val="70"/>
        </w:trPr>
        <w:tc>
          <w:tcPr>
            <w:tcW w:w="1980" w:type="dxa"/>
            <w:vMerge/>
            <w:vAlign w:val="center"/>
          </w:tcPr>
          <w:p w14:paraId="29F9E9B3"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738747D3"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27DB54A7"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 de gestión de la RMCAB</w:t>
            </w:r>
          </w:p>
        </w:tc>
        <w:tc>
          <w:tcPr>
            <w:tcW w:w="1276" w:type="dxa"/>
            <w:shd w:val="clear" w:color="auto" w:fill="5CEC14"/>
            <w:vAlign w:val="center"/>
          </w:tcPr>
          <w:p w14:paraId="244B4CD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5E129855" w14:textId="77777777">
        <w:trPr>
          <w:trHeight w:val="70"/>
        </w:trPr>
        <w:tc>
          <w:tcPr>
            <w:tcW w:w="1980" w:type="dxa"/>
            <w:vMerge w:val="restart"/>
            <w:vAlign w:val="center"/>
          </w:tcPr>
          <w:p w14:paraId="664DBB7E"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Planeación ambiental</w:t>
            </w:r>
          </w:p>
        </w:tc>
        <w:tc>
          <w:tcPr>
            <w:tcW w:w="1843" w:type="dxa"/>
            <w:vMerge w:val="restart"/>
            <w:vAlign w:val="center"/>
          </w:tcPr>
          <w:p w14:paraId="4F1EC224"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Dirección de Planeación y Sistemas de Información Ambiental</w:t>
            </w:r>
          </w:p>
        </w:tc>
        <w:tc>
          <w:tcPr>
            <w:tcW w:w="3827" w:type="dxa"/>
            <w:vAlign w:val="center"/>
          </w:tcPr>
          <w:p w14:paraId="6A0AB219"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 xml:space="preserve">Porcentaje de fortalecimiento de la articulación local, regional, nacional, internacional del componente ambiental de Bogotá </w:t>
            </w:r>
          </w:p>
        </w:tc>
        <w:tc>
          <w:tcPr>
            <w:tcW w:w="1276" w:type="dxa"/>
            <w:shd w:val="clear" w:color="auto" w:fill="5CEC14"/>
            <w:vAlign w:val="center"/>
          </w:tcPr>
          <w:p w14:paraId="375F4CD0"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45CF65AE" w14:textId="77777777">
        <w:trPr>
          <w:trHeight w:val="70"/>
        </w:trPr>
        <w:tc>
          <w:tcPr>
            <w:tcW w:w="1980" w:type="dxa"/>
            <w:vMerge/>
            <w:vAlign w:val="center"/>
          </w:tcPr>
          <w:p w14:paraId="0A6AEDBE"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432F44FA"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0775F215"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Porcentaje de avance en el fortalecimiento de la gestión y seguimiento de las instancias ambientales con mayor incidencia en la región</w:t>
            </w:r>
          </w:p>
        </w:tc>
        <w:tc>
          <w:tcPr>
            <w:tcW w:w="1276" w:type="dxa"/>
            <w:shd w:val="clear" w:color="auto" w:fill="5CEC14"/>
            <w:vAlign w:val="center"/>
          </w:tcPr>
          <w:p w14:paraId="52D4B923"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105F3158" w14:textId="77777777">
        <w:trPr>
          <w:trHeight w:val="70"/>
        </w:trPr>
        <w:tc>
          <w:tcPr>
            <w:tcW w:w="1980" w:type="dxa"/>
            <w:vMerge/>
            <w:vAlign w:val="center"/>
          </w:tcPr>
          <w:p w14:paraId="407CA89D"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095D782A"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61D790AA"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Número de acciones de gestión del conocimiento en materia ambiental</w:t>
            </w:r>
          </w:p>
        </w:tc>
        <w:tc>
          <w:tcPr>
            <w:tcW w:w="1276" w:type="dxa"/>
            <w:shd w:val="clear" w:color="auto" w:fill="5CEC14"/>
            <w:vAlign w:val="center"/>
          </w:tcPr>
          <w:p w14:paraId="25D5A672"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2230B7EE" w14:textId="77777777">
        <w:trPr>
          <w:trHeight w:val="70"/>
        </w:trPr>
        <w:tc>
          <w:tcPr>
            <w:tcW w:w="1980" w:type="dxa"/>
            <w:vMerge/>
            <w:vAlign w:val="center"/>
          </w:tcPr>
          <w:p w14:paraId="2EF4ACD9"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7B97DD4A"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0C1165A2"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Porcentaje de proyectos activos con acciones de seguimiento</w:t>
            </w:r>
          </w:p>
        </w:tc>
        <w:tc>
          <w:tcPr>
            <w:tcW w:w="1276" w:type="dxa"/>
            <w:shd w:val="clear" w:color="auto" w:fill="5CEC14"/>
            <w:vAlign w:val="center"/>
          </w:tcPr>
          <w:p w14:paraId="1274B42C"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72A095AC" w14:textId="77777777">
        <w:trPr>
          <w:trHeight w:val="70"/>
        </w:trPr>
        <w:tc>
          <w:tcPr>
            <w:tcW w:w="1980" w:type="dxa"/>
            <w:vMerge/>
            <w:vAlign w:val="center"/>
          </w:tcPr>
          <w:p w14:paraId="420CE4ED"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03B72C2C"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25263FD2"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Actividades de soporte y gestión de procesos realizadas</w:t>
            </w:r>
          </w:p>
        </w:tc>
        <w:tc>
          <w:tcPr>
            <w:tcW w:w="1276" w:type="dxa"/>
            <w:shd w:val="clear" w:color="auto" w:fill="5CEC14"/>
            <w:vAlign w:val="center"/>
          </w:tcPr>
          <w:p w14:paraId="476B18BB"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7580EE13" w14:textId="77777777">
        <w:trPr>
          <w:trHeight w:val="70"/>
        </w:trPr>
        <w:tc>
          <w:tcPr>
            <w:tcW w:w="1980" w:type="dxa"/>
            <w:vMerge w:val="restart"/>
            <w:vAlign w:val="center"/>
          </w:tcPr>
          <w:p w14:paraId="159ADC3A"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Tecnológica</w:t>
            </w:r>
          </w:p>
        </w:tc>
        <w:tc>
          <w:tcPr>
            <w:tcW w:w="1843" w:type="dxa"/>
            <w:vMerge/>
            <w:vAlign w:val="center"/>
          </w:tcPr>
          <w:p w14:paraId="70FF508B" w14:textId="77777777" w:rsidR="00775354" w:rsidRDefault="00775354">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827" w:type="dxa"/>
            <w:vAlign w:val="center"/>
          </w:tcPr>
          <w:p w14:paraId="0DC1DC89"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Sistemas De Información Actualizados</w:t>
            </w:r>
          </w:p>
        </w:tc>
        <w:tc>
          <w:tcPr>
            <w:tcW w:w="1276" w:type="dxa"/>
            <w:shd w:val="clear" w:color="auto" w:fill="5CEC14"/>
            <w:vAlign w:val="center"/>
          </w:tcPr>
          <w:p w14:paraId="613626F2"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46FAC6E0" w14:textId="77777777">
        <w:trPr>
          <w:trHeight w:val="70"/>
        </w:trPr>
        <w:tc>
          <w:tcPr>
            <w:tcW w:w="1980" w:type="dxa"/>
            <w:vMerge/>
            <w:vAlign w:val="center"/>
          </w:tcPr>
          <w:p w14:paraId="6E3A38C6"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4AA0F718"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1C34349B"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Sistemas de información diseñados, actualizados o en funcionamiento</w:t>
            </w:r>
          </w:p>
        </w:tc>
        <w:tc>
          <w:tcPr>
            <w:tcW w:w="1276" w:type="dxa"/>
            <w:shd w:val="clear" w:color="auto" w:fill="5CEC14"/>
            <w:vAlign w:val="center"/>
          </w:tcPr>
          <w:p w14:paraId="19D2CC78"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028889E9" w14:textId="77777777">
        <w:trPr>
          <w:trHeight w:val="70"/>
        </w:trPr>
        <w:tc>
          <w:tcPr>
            <w:tcW w:w="1980" w:type="dxa"/>
            <w:vMerge/>
            <w:vAlign w:val="center"/>
          </w:tcPr>
          <w:p w14:paraId="1DAC4A7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75B11E20"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26DDB799"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Informes presentados</w:t>
            </w:r>
          </w:p>
        </w:tc>
        <w:tc>
          <w:tcPr>
            <w:tcW w:w="1276" w:type="dxa"/>
            <w:shd w:val="clear" w:color="auto" w:fill="5CEC14"/>
            <w:vAlign w:val="center"/>
          </w:tcPr>
          <w:p w14:paraId="22D939BB"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24282F50" w14:textId="77777777">
        <w:trPr>
          <w:trHeight w:val="70"/>
        </w:trPr>
        <w:tc>
          <w:tcPr>
            <w:tcW w:w="1980" w:type="dxa"/>
            <w:vMerge/>
            <w:vAlign w:val="center"/>
          </w:tcPr>
          <w:p w14:paraId="4B1F745A"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10BF9032"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200B7D12"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Disponibilidad de los sistemas de información</w:t>
            </w:r>
          </w:p>
        </w:tc>
        <w:tc>
          <w:tcPr>
            <w:tcW w:w="1276" w:type="dxa"/>
            <w:shd w:val="clear" w:color="auto" w:fill="5CEC14"/>
            <w:vAlign w:val="center"/>
          </w:tcPr>
          <w:p w14:paraId="73C9EA23"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3B27378D" w14:textId="77777777">
        <w:trPr>
          <w:trHeight w:val="70"/>
        </w:trPr>
        <w:tc>
          <w:tcPr>
            <w:tcW w:w="1980" w:type="dxa"/>
            <w:vMerge/>
            <w:vAlign w:val="center"/>
          </w:tcPr>
          <w:p w14:paraId="34ABC76F"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3D0ED01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7C517889"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Informes de seguimiento realizados</w:t>
            </w:r>
          </w:p>
        </w:tc>
        <w:tc>
          <w:tcPr>
            <w:tcW w:w="1276" w:type="dxa"/>
            <w:shd w:val="clear" w:color="auto" w:fill="5CEC14"/>
            <w:vAlign w:val="center"/>
          </w:tcPr>
          <w:p w14:paraId="5C8A27D6"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732A47C7" w14:textId="77777777">
        <w:trPr>
          <w:trHeight w:val="70"/>
        </w:trPr>
        <w:tc>
          <w:tcPr>
            <w:tcW w:w="1980" w:type="dxa"/>
            <w:vMerge w:val="restart"/>
            <w:vAlign w:val="center"/>
          </w:tcPr>
          <w:p w14:paraId="6A8AEAE5"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Direccionamiento Estratégico</w:t>
            </w:r>
          </w:p>
        </w:tc>
        <w:tc>
          <w:tcPr>
            <w:tcW w:w="1843" w:type="dxa"/>
            <w:vMerge w:val="restart"/>
            <w:vAlign w:val="center"/>
          </w:tcPr>
          <w:p w14:paraId="6E6248C0"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de Proyectos y Cooperación Internacional</w:t>
            </w:r>
          </w:p>
        </w:tc>
        <w:tc>
          <w:tcPr>
            <w:tcW w:w="3827" w:type="dxa"/>
            <w:vAlign w:val="center"/>
          </w:tcPr>
          <w:p w14:paraId="4B8DEDBA"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Número de informes de seguimiento integrales a los proyectos de inversión mensuales</w:t>
            </w:r>
          </w:p>
        </w:tc>
        <w:tc>
          <w:tcPr>
            <w:tcW w:w="1276" w:type="dxa"/>
            <w:shd w:val="clear" w:color="auto" w:fill="5CEC14"/>
            <w:vAlign w:val="center"/>
          </w:tcPr>
          <w:p w14:paraId="1EE5DBB4"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092047DC" w14:textId="77777777">
        <w:trPr>
          <w:trHeight w:val="70"/>
        </w:trPr>
        <w:tc>
          <w:tcPr>
            <w:tcW w:w="1980" w:type="dxa"/>
            <w:vMerge/>
            <w:vAlign w:val="center"/>
          </w:tcPr>
          <w:p w14:paraId="381090C2"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vAlign w:val="center"/>
          </w:tcPr>
          <w:p w14:paraId="6E8E38DE"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vAlign w:val="center"/>
          </w:tcPr>
          <w:p w14:paraId="6128870B"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Gestión de Cooperación Internacional – SDA</w:t>
            </w:r>
          </w:p>
        </w:tc>
        <w:tc>
          <w:tcPr>
            <w:tcW w:w="1276" w:type="dxa"/>
            <w:shd w:val="clear" w:color="auto" w:fill="5CEC14"/>
            <w:vAlign w:val="center"/>
          </w:tcPr>
          <w:p w14:paraId="6AD1AE80"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6C1C6F67" w14:textId="77777777">
        <w:trPr>
          <w:trHeight w:val="70"/>
        </w:trPr>
        <w:tc>
          <w:tcPr>
            <w:tcW w:w="1980" w:type="dxa"/>
            <w:vMerge w:val="restart"/>
            <w:vAlign w:val="center"/>
          </w:tcPr>
          <w:p w14:paraId="36717101"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Ambiental y Desarrollo Rural</w:t>
            </w:r>
          </w:p>
        </w:tc>
        <w:tc>
          <w:tcPr>
            <w:tcW w:w="1843" w:type="dxa"/>
            <w:vAlign w:val="center"/>
          </w:tcPr>
          <w:p w14:paraId="3909020A"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de Ecosistemas y Ruralidad</w:t>
            </w:r>
          </w:p>
        </w:tc>
        <w:tc>
          <w:tcPr>
            <w:tcW w:w="3827" w:type="dxa"/>
            <w:vAlign w:val="center"/>
          </w:tcPr>
          <w:p w14:paraId="29A008D5"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Informes de acciones de formulación e implementación de monitoreo, evaluación y seguimiento de la biodiversidad.</w:t>
            </w:r>
          </w:p>
        </w:tc>
        <w:tc>
          <w:tcPr>
            <w:tcW w:w="1276" w:type="dxa"/>
            <w:shd w:val="clear" w:color="auto" w:fill="5CEC14"/>
            <w:vAlign w:val="center"/>
          </w:tcPr>
          <w:p w14:paraId="7B7FACFD"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r w:rsidR="00775354" w14:paraId="2ECF59D3" w14:textId="77777777">
        <w:trPr>
          <w:trHeight w:val="70"/>
        </w:trPr>
        <w:tc>
          <w:tcPr>
            <w:tcW w:w="1980" w:type="dxa"/>
            <w:vMerge/>
            <w:vAlign w:val="center"/>
          </w:tcPr>
          <w:p w14:paraId="19EAA840"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Align w:val="center"/>
          </w:tcPr>
          <w:p w14:paraId="5A454D08"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Dirección de Gestión Ambiental</w:t>
            </w:r>
          </w:p>
        </w:tc>
        <w:tc>
          <w:tcPr>
            <w:tcW w:w="3827" w:type="dxa"/>
            <w:vAlign w:val="center"/>
          </w:tcPr>
          <w:p w14:paraId="2FA90512"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Acciones de respuesta a emergencias notificadas a la Secretaría Distrital de Ambiente.</w:t>
            </w:r>
          </w:p>
        </w:tc>
        <w:tc>
          <w:tcPr>
            <w:tcW w:w="1276" w:type="dxa"/>
            <w:shd w:val="clear" w:color="auto" w:fill="5CEC14"/>
            <w:vAlign w:val="center"/>
          </w:tcPr>
          <w:p w14:paraId="0234633A"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100</w:t>
            </w:r>
          </w:p>
        </w:tc>
      </w:tr>
    </w:tbl>
    <w:p w14:paraId="63B5BE82" w14:textId="77777777" w:rsidR="00775354" w:rsidRDefault="00775354">
      <w:pPr>
        <w:pStyle w:val="Ttulo2"/>
        <w:spacing w:line="240" w:lineRule="auto"/>
        <w:jc w:val="both"/>
        <w:rPr>
          <w:rFonts w:ascii="Arial" w:eastAsia="Arial" w:hAnsi="Arial" w:cs="Arial"/>
          <w:sz w:val="20"/>
          <w:szCs w:val="20"/>
        </w:rPr>
      </w:pPr>
    </w:p>
    <w:p w14:paraId="4E5A5D50" w14:textId="77777777" w:rsidR="00775354" w:rsidRDefault="00775354"/>
    <w:p w14:paraId="7BBAA8F7" w14:textId="0CFD2764" w:rsidR="00775354" w:rsidRDefault="00610FF5">
      <w:pPr>
        <w:pStyle w:val="Ttulo2"/>
        <w:numPr>
          <w:ilvl w:val="1"/>
          <w:numId w:val="2"/>
        </w:numPr>
        <w:rPr>
          <w:rFonts w:ascii="Arial" w:eastAsia="Arial" w:hAnsi="Arial" w:cs="Arial"/>
          <w:sz w:val="20"/>
          <w:szCs w:val="20"/>
        </w:rPr>
      </w:pPr>
      <w:bookmarkStart w:id="7" w:name="_heading=h.1t3h5sf" w:colFirst="0" w:colLast="0"/>
      <w:bookmarkEnd w:id="7"/>
      <w:r>
        <w:rPr>
          <w:rFonts w:ascii="Arial" w:eastAsia="Arial" w:hAnsi="Arial" w:cs="Arial"/>
          <w:sz w:val="20"/>
          <w:szCs w:val="20"/>
        </w:rPr>
        <w:t xml:space="preserve">Indicadores con cumplimiento del </w:t>
      </w:r>
      <w:r w:rsidR="003533FD">
        <w:rPr>
          <w:rFonts w:ascii="Arial" w:eastAsia="Arial" w:hAnsi="Arial" w:cs="Arial"/>
          <w:sz w:val="20"/>
          <w:szCs w:val="20"/>
        </w:rPr>
        <w:t>8</w:t>
      </w:r>
      <w:r>
        <w:rPr>
          <w:rFonts w:ascii="Arial" w:eastAsia="Arial" w:hAnsi="Arial" w:cs="Arial"/>
          <w:sz w:val="20"/>
          <w:szCs w:val="20"/>
        </w:rPr>
        <w:t>5% y el 89%</w:t>
      </w:r>
    </w:p>
    <w:p w14:paraId="42F102F1" w14:textId="77777777" w:rsidR="00775354" w:rsidRDefault="00775354">
      <w:pPr>
        <w:spacing w:after="0"/>
      </w:pPr>
    </w:p>
    <w:tbl>
      <w:tblPr>
        <w:tblStyle w:val="a0"/>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3D6AFFDD" w14:textId="77777777">
        <w:tc>
          <w:tcPr>
            <w:tcW w:w="1980" w:type="dxa"/>
            <w:shd w:val="clear" w:color="auto" w:fill="DBDBDB"/>
            <w:vAlign w:val="center"/>
          </w:tcPr>
          <w:p w14:paraId="330AB117"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3C389B85"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62B300D3"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083391BF"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775354" w14:paraId="5287209A" w14:textId="77777777">
        <w:tc>
          <w:tcPr>
            <w:tcW w:w="1980" w:type="dxa"/>
            <w:shd w:val="clear" w:color="auto" w:fill="auto"/>
            <w:vAlign w:val="center"/>
          </w:tcPr>
          <w:p w14:paraId="4CE692F5"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Tecnológica</w:t>
            </w:r>
          </w:p>
        </w:tc>
        <w:tc>
          <w:tcPr>
            <w:tcW w:w="1843" w:type="dxa"/>
            <w:shd w:val="clear" w:color="auto" w:fill="auto"/>
            <w:vAlign w:val="center"/>
          </w:tcPr>
          <w:p w14:paraId="44A09A6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Dirección de Planeación y Sistemas de Información Ambiental</w:t>
            </w:r>
          </w:p>
        </w:tc>
        <w:tc>
          <w:tcPr>
            <w:tcW w:w="3827" w:type="dxa"/>
            <w:shd w:val="clear" w:color="auto" w:fill="auto"/>
            <w:vAlign w:val="center"/>
          </w:tcPr>
          <w:p w14:paraId="604FE2EA"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Documentos para la planeación realizados</w:t>
            </w:r>
          </w:p>
        </w:tc>
        <w:tc>
          <w:tcPr>
            <w:tcW w:w="1276" w:type="dxa"/>
            <w:shd w:val="clear" w:color="auto" w:fill="5CEC14"/>
            <w:vAlign w:val="center"/>
          </w:tcPr>
          <w:p w14:paraId="73C11D1F" w14:textId="77777777" w:rsidR="00775354" w:rsidRDefault="00610FF5">
            <w:pPr>
              <w:jc w:val="center"/>
              <w:rPr>
                <w:rFonts w:ascii="Arial" w:eastAsia="Arial" w:hAnsi="Arial" w:cs="Arial"/>
                <w:b/>
                <w:sz w:val="20"/>
                <w:szCs w:val="20"/>
              </w:rPr>
            </w:pPr>
            <w:r>
              <w:rPr>
                <w:rFonts w:ascii="Arial" w:eastAsia="Arial" w:hAnsi="Arial" w:cs="Arial"/>
                <w:b/>
                <w:sz w:val="20"/>
                <w:szCs w:val="20"/>
              </w:rPr>
              <w:t>89</w:t>
            </w:r>
          </w:p>
        </w:tc>
      </w:tr>
      <w:tr w:rsidR="00775354" w14:paraId="11DEB239" w14:textId="77777777">
        <w:tc>
          <w:tcPr>
            <w:tcW w:w="1980" w:type="dxa"/>
            <w:shd w:val="clear" w:color="auto" w:fill="auto"/>
            <w:vAlign w:val="center"/>
          </w:tcPr>
          <w:p w14:paraId="24FA94FB"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Financiera</w:t>
            </w:r>
          </w:p>
        </w:tc>
        <w:tc>
          <w:tcPr>
            <w:tcW w:w="1843" w:type="dxa"/>
            <w:shd w:val="clear" w:color="auto" w:fill="auto"/>
            <w:vAlign w:val="center"/>
          </w:tcPr>
          <w:p w14:paraId="3C321D47"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Financiera</w:t>
            </w:r>
          </w:p>
        </w:tc>
        <w:tc>
          <w:tcPr>
            <w:tcW w:w="3827" w:type="dxa"/>
            <w:shd w:val="clear" w:color="auto" w:fill="auto"/>
            <w:vAlign w:val="center"/>
          </w:tcPr>
          <w:p w14:paraId="6999FA31"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Seguimiento a la ejecución de pagos programados</w:t>
            </w:r>
          </w:p>
        </w:tc>
        <w:tc>
          <w:tcPr>
            <w:tcW w:w="1276" w:type="dxa"/>
            <w:shd w:val="clear" w:color="auto" w:fill="5CEC14"/>
            <w:vAlign w:val="center"/>
          </w:tcPr>
          <w:p w14:paraId="53201BFE" w14:textId="77777777" w:rsidR="00775354" w:rsidRDefault="00610FF5">
            <w:pPr>
              <w:jc w:val="center"/>
              <w:rPr>
                <w:rFonts w:ascii="Arial" w:eastAsia="Arial" w:hAnsi="Arial" w:cs="Arial"/>
                <w:b/>
                <w:sz w:val="20"/>
                <w:szCs w:val="20"/>
              </w:rPr>
            </w:pPr>
            <w:r>
              <w:rPr>
                <w:rFonts w:ascii="Arial" w:eastAsia="Arial" w:hAnsi="Arial" w:cs="Arial"/>
                <w:b/>
                <w:sz w:val="20"/>
                <w:szCs w:val="20"/>
              </w:rPr>
              <w:t>85</w:t>
            </w:r>
          </w:p>
        </w:tc>
      </w:tr>
    </w:tbl>
    <w:p w14:paraId="6D997DBC" w14:textId="1CC04EF6" w:rsidR="00775354" w:rsidRDefault="00775354">
      <w:pPr>
        <w:spacing w:line="240" w:lineRule="auto"/>
        <w:rPr>
          <w:rFonts w:ascii="Arial" w:eastAsia="Arial" w:hAnsi="Arial" w:cs="Arial"/>
          <w:sz w:val="20"/>
          <w:szCs w:val="20"/>
        </w:rPr>
      </w:pPr>
    </w:p>
    <w:p w14:paraId="18A1F29C" w14:textId="101A0013" w:rsidR="00A53FCB" w:rsidRDefault="00A53FCB" w:rsidP="00A53FCB">
      <w:pPr>
        <w:spacing w:line="240" w:lineRule="auto"/>
        <w:jc w:val="both"/>
        <w:rPr>
          <w:rFonts w:ascii="Arial" w:eastAsia="Arial" w:hAnsi="Arial" w:cs="Arial"/>
          <w:sz w:val="20"/>
          <w:szCs w:val="20"/>
        </w:rPr>
      </w:pPr>
      <w:r>
        <w:rPr>
          <w:rFonts w:ascii="Arial" w:eastAsia="Arial" w:hAnsi="Arial" w:cs="Arial"/>
          <w:sz w:val="20"/>
          <w:szCs w:val="20"/>
        </w:rPr>
        <w:t xml:space="preserve">Para el indicador en cabeza de la  DPSIA relacionado a los documentos para la planeación se realizó un avance acumulados del 2.26 que significa el 89% de cumplimiento para las actividades programadas para el periodo de noviembre, los adelantos se enfocaron específicamente en </w:t>
      </w:r>
      <w:r w:rsidRPr="00A53FCB">
        <w:rPr>
          <w:rFonts w:ascii="Arial" w:eastAsia="Arial" w:hAnsi="Arial" w:cs="Arial"/>
          <w:sz w:val="20"/>
          <w:szCs w:val="20"/>
        </w:rPr>
        <w:t>continuó con la documentación del estado actual del gobierno de TI en la entidad, adicionando, los riesgos contemplados para el proceso de Gestión de Tecnológica, de igual manera se inició con la documentación del estado objetivo de TI: objetivos estratégicos, misión y visión de TI, así como normatividad vigente, aspectos para ser incluidos en el PETI 2021-2024 Se continuó con las mesas de trabajo en el proceso de entendimiento para la formulación de los proyectos con componente TI, los cuales harán parte del PETI y PTD</w:t>
      </w:r>
      <w:r>
        <w:rPr>
          <w:rFonts w:ascii="Arial" w:eastAsia="Arial" w:hAnsi="Arial" w:cs="Arial"/>
          <w:sz w:val="20"/>
          <w:szCs w:val="20"/>
        </w:rPr>
        <w:t>, entre otras actividades programadas.</w:t>
      </w:r>
    </w:p>
    <w:p w14:paraId="50818901" w14:textId="6BB0AB70" w:rsidR="00A53FCB" w:rsidRDefault="00A53FCB" w:rsidP="00A53FCB">
      <w:pPr>
        <w:spacing w:line="240" w:lineRule="auto"/>
        <w:jc w:val="both"/>
        <w:rPr>
          <w:rFonts w:ascii="Arial" w:eastAsia="Arial" w:hAnsi="Arial" w:cs="Arial"/>
          <w:sz w:val="20"/>
          <w:szCs w:val="20"/>
        </w:rPr>
      </w:pPr>
      <w:r>
        <w:rPr>
          <w:rFonts w:ascii="Arial" w:eastAsia="Arial" w:hAnsi="Arial" w:cs="Arial"/>
          <w:sz w:val="20"/>
          <w:szCs w:val="20"/>
        </w:rPr>
        <w:t xml:space="preserve">Con un 85% de cumplimiento se presenta la ejecución de pagos, incluyendo las modificaciones internas que ha sufrido en el mes de noviembre, como resultado del seguimiento que realiza la Subdirección Financiera.  </w:t>
      </w:r>
    </w:p>
    <w:p w14:paraId="347994C0" w14:textId="01169EA9" w:rsidR="00775354" w:rsidRDefault="00775354">
      <w:pPr>
        <w:jc w:val="both"/>
        <w:rPr>
          <w:rFonts w:ascii="Arial" w:eastAsia="Arial" w:hAnsi="Arial" w:cs="Arial"/>
          <w:color w:val="000000"/>
          <w:sz w:val="20"/>
          <w:szCs w:val="20"/>
          <w:highlight w:val="white"/>
        </w:rPr>
      </w:pPr>
    </w:p>
    <w:p w14:paraId="5BD17629" w14:textId="0DAEE8A7" w:rsidR="006D561E" w:rsidRDefault="006D561E">
      <w:pPr>
        <w:jc w:val="both"/>
        <w:rPr>
          <w:rFonts w:ascii="Arial" w:eastAsia="Arial" w:hAnsi="Arial" w:cs="Arial"/>
          <w:color w:val="000000"/>
          <w:sz w:val="20"/>
          <w:szCs w:val="20"/>
          <w:highlight w:val="white"/>
        </w:rPr>
      </w:pPr>
    </w:p>
    <w:p w14:paraId="0A2000E0" w14:textId="08CE3951" w:rsidR="006D561E" w:rsidRDefault="006D561E">
      <w:pPr>
        <w:jc w:val="both"/>
        <w:rPr>
          <w:rFonts w:ascii="Arial" w:eastAsia="Arial" w:hAnsi="Arial" w:cs="Arial"/>
          <w:color w:val="000000"/>
          <w:sz w:val="20"/>
          <w:szCs w:val="20"/>
          <w:highlight w:val="white"/>
        </w:rPr>
      </w:pPr>
    </w:p>
    <w:p w14:paraId="6A7984C8" w14:textId="52E7DAE0" w:rsidR="006D561E" w:rsidRDefault="006D561E">
      <w:pPr>
        <w:jc w:val="both"/>
        <w:rPr>
          <w:rFonts w:ascii="Arial" w:eastAsia="Arial" w:hAnsi="Arial" w:cs="Arial"/>
          <w:color w:val="000000"/>
          <w:sz w:val="20"/>
          <w:szCs w:val="20"/>
          <w:highlight w:val="white"/>
        </w:rPr>
      </w:pPr>
    </w:p>
    <w:p w14:paraId="23C4A4A2" w14:textId="77777777" w:rsidR="006D561E" w:rsidRDefault="006D561E">
      <w:pPr>
        <w:jc w:val="both"/>
        <w:rPr>
          <w:rFonts w:ascii="Arial" w:eastAsia="Arial" w:hAnsi="Arial" w:cs="Arial"/>
          <w:color w:val="000000"/>
          <w:sz w:val="20"/>
          <w:szCs w:val="20"/>
          <w:highlight w:val="white"/>
        </w:rPr>
      </w:pPr>
    </w:p>
    <w:p w14:paraId="374C628A" w14:textId="77777777" w:rsidR="00775354" w:rsidRDefault="00610FF5">
      <w:pPr>
        <w:pStyle w:val="Ttulo2"/>
        <w:numPr>
          <w:ilvl w:val="1"/>
          <w:numId w:val="2"/>
        </w:numPr>
        <w:rPr>
          <w:rFonts w:ascii="Arial" w:eastAsia="Arial" w:hAnsi="Arial" w:cs="Arial"/>
          <w:sz w:val="20"/>
          <w:szCs w:val="20"/>
        </w:rPr>
      </w:pPr>
      <w:bookmarkStart w:id="8" w:name="_heading=h.4d34og8" w:colFirst="0" w:colLast="0"/>
      <w:bookmarkEnd w:id="8"/>
      <w:r>
        <w:rPr>
          <w:rFonts w:ascii="Arial" w:eastAsia="Arial" w:hAnsi="Arial" w:cs="Arial"/>
          <w:sz w:val="20"/>
          <w:szCs w:val="20"/>
        </w:rPr>
        <w:lastRenderedPageBreak/>
        <w:t>Indicadores del 59% al 70% de cumplimiento</w:t>
      </w:r>
    </w:p>
    <w:p w14:paraId="086D2B57" w14:textId="77777777" w:rsidR="00775354" w:rsidRDefault="00775354">
      <w:pPr>
        <w:rPr>
          <w:rFonts w:ascii="Arial" w:eastAsia="Arial" w:hAnsi="Arial" w:cs="Arial"/>
          <w:sz w:val="20"/>
          <w:szCs w:val="20"/>
        </w:rPr>
      </w:pPr>
    </w:p>
    <w:tbl>
      <w:tblPr>
        <w:tblStyle w:val="a1"/>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7983EFD3" w14:textId="77777777">
        <w:tc>
          <w:tcPr>
            <w:tcW w:w="1980" w:type="dxa"/>
            <w:shd w:val="clear" w:color="auto" w:fill="DBDBDB"/>
            <w:vAlign w:val="center"/>
          </w:tcPr>
          <w:p w14:paraId="5F246EF6"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13C1C2B7"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0B5796D0"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3A41631C"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775354" w14:paraId="0C51F327" w14:textId="77777777">
        <w:tc>
          <w:tcPr>
            <w:tcW w:w="1980" w:type="dxa"/>
            <w:shd w:val="clear" w:color="auto" w:fill="auto"/>
            <w:vAlign w:val="center"/>
          </w:tcPr>
          <w:p w14:paraId="55947CDE"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Evaluación, Control y Seguimiento</w:t>
            </w:r>
          </w:p>
          <w:p w14:paraId="3C873D5F" w14:textId="77777777" w:rsidR="00775354" w:rsidRDefault="00775354">
            <w:pPr>
              <w:jc w:val="center"/>
              <w:rPr>
                <w:rFonts w:ascii="Arial" w:eastAsia="Arial" w:hAnsi="Arial" w:cs="Arial"/>
                <w:color w:val="000000"/>
                <w:sz w:val="20"/>
                <w:szCs w:val="20"/>
              </w:rPr>
            </w:pPr>
          </w:p>
          <w:p w14:paraId="2B4A2E7E" w14:textId="77777777" w:rsidR="00775354" w:rsidRDefault="00775354">
            <w:pPr>
              <w:jc w:val="center"/>
              <w:rPr>
                <w:rFonts w:ascii="Arial" w:eastAsia="Arial" w:hAnsi="Arial" w:cs="Arial"/>
                <w:color w:val="000000"/>
                <w:sz w:val="20"/>
                <w:szCs w:val="20"/>
              </w:rPr>
            </w:pPr>
          </w:p>
        </w:tc>
        <w:tc>
          <w:tcPr>
            <w:tcW w:w="1843" w:type="dxa"/>
            <w:shd w:val="clear" w:color="auto" w:fill="auto"/>
            <w:vAlign w:val="center"/>
          </w:tcPr>
          <w:p w14:paraId="57E66E77"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de Calidad del Aire, Auditiva y Visual.</w:t>
            </w:r>
          </w:p>
        </w:tc>
        <w:tc>
          <w:tcPr>
            <w:tcW w:w="3827" w:type="dxa"/>
            <w:shd w:val="clear" w:color="auto" w:fill="auto"/>
            <w:vAlign w:val="center"/>
          </w:tcPr>
          <w:p w14:paraId="3E28AB24"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Realizar actuaciones de evaluación, control y seguimiento a las fuentes fijas presentes en el Distrito.</w:t>
            </w:r>
          </w:p>
        </w:tc>
        <w:tc>
          <w:tcPr>
            <w:tcW w:w="1276" w:type="dxa"/>
            <w:shd w:val="clear" w:color="auto" w:fill="FFFF00"/>
            <w:vAlign w:val="center"/>
          </w:tcPr>
          <w:p w14:paraId="393A4ABC"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65</w:t>
            </w:r>
          </w:p>
        </w:tc>
      </w:tr>
      <w:tr w:rsidR="00775354" w14:paraId="292BFCCE" w14:textId="77777777">
        <w:tc>
          <w:tcPr>
            <w:tcW w:w="1980" w:type="dxa"/>
            <w:shd w:val="clear" w:color="auto" w:fill="auto"/>
            <w:vAlign w:val="center"/>
          </w:tcPr>
          <w:p w14:paraId="3EE9E560"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Administrativa</w:t>
            </w:r>
          </w:p>
        </w:tc>
        <w:tc>
          <w:tcPr>
            <w:tcW w:w="1843" w:type="dxa"/>
            <w:shd w:val="clear" w:color="auto" w:fill="auto"/>
            <w:vAlign w:val="center"/>
          </w:tcPr>
          <w:p w14:paraId="2E117548"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Dirección de gestión Corporativa</w:t>
            </w:r>
          </w:p>
        </w:tc>
        <w:tc>
          <w:tcPr>
            <w:tcW w:w="3827" w:type="dxa"/>
            <w:shd w:val="clear" w:color="auto" w:fill="auto"/>
            <w:vAlign w:val="center"/>
          </w:tcPr>
          <w:p w14:paraId="6ECD2A16"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Seguimiento a los Gastos de Funcionamiento 2020</w:t>
            </w:r>
          </w:p>
        </w:tc>
        <w:tc>
          <w:tcPr>
            <w:tcW w:w="1276" w:type="dxa"/>
            <w:shd w:val="clear" w:color="auto" w:fill="FFFF00"/>
            <w:vAlign w:val="center"/>
          </w:tcPr>
          <w:p w14:paraId="4FD49384"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64</w:t>
            </w:r>
          </w:p>
        </w:tc>
      </w:tr>
      <w:tr w:rsidR="00775354" w14:paraId="16A55BE9" w14:textId="77777777">
        <w:tc>
          <w:tcPr>
            <w:tcW w:w="1980" w:type="dxa"/>
            <w:shd w:val="clear" w:color="auto" w:fill="auto"/>
            <w:vAlign w:val="center"/>
          </w:tcPr>
          <w:p w14:paraId="178E3A1D" w14:textId="77777777" w:rsidR="00775354" w:rsidRDefault="00610FF5">
            <w:pPr>
              <w:jc w:val="center"/>
            </w:pPr>
            <w:r>
              <w:rPr>
                <w:rFonts w:ascii="Arial" w:eastAsia="Arial" w:hAnsi="Arial" w:cs="Arial"/>
                <w:color w:val="000000"/>
                <w:sz w:val="20"/>
                <w:szCs w:val="20"/>
              </w:rPr>
              <w:t>Evaluación, Control y Seguimiento</w:t>
            </w:r>
          </w:p>
        </w:tc>
        <w:tc>
          <w:tcPr>
            <w:tcW w:w="1843" w:type="dxa"/>
            <w:shd w:val="clear" w:color="auto" w:fill="auto"/>
            <w:vAlign w:val="center"/>
          </w:tcPr>
          <w:p w14:paraId="465824C1" w14:textId="77777777" w:rsidR="00775354" w:rsidRDefault="00610FF5">
            <w:pPr>
              <w:jc w:val="center"/>
            </w:pPr>
            <w:r>
              <w:rPr>
                <w:rFonts w:ascii="Arial" w:eastAsia="Arial" w:hAnsi="Arial" w:cs="Arial"/>
                <w:b/>
                <w:color w:val="000000"/>
                <w:sz w:val="20"/>
                <w:szCs w:val="20"/>
              </w:rPr>
              <w:t>Subdirección de Control Ambiental al Sector Público</w:t>
            </w:r>
          </w:p>
        </w:tc>
        <w:tc>
          <w:tcPr>
            <w:tcW w:w="3827" w:type="dxa"/>
            <w:shd w:val="clear" w:color="auto" w:fill="auto"/>
            <w:vAlign w:val="center"/>
          </w:tcPr>
          <w:p w14:paraId="3E86DF1F"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Toneladas de llantas usadas aprovechadas controladas por la SDA.</w:t>
            </w:r>
            <w:r>
              <w:rPr>
                <w:rFonts w:ascii="Arial" w:eastAsia="Arial" w:hAnsi="Arial" w:cs="Arial"/>
                <w:color w:val="000000"/>
                <w:sz w:val="20"/>
                <w:szCs w:val="20"/>
              </w:rPr>
              <w:tab/>
            </w:r>
          </w:p>
        </w:tc>
        <w:tc>
          <w:tcPr>
            <w:tcW w:w="1276" w:type="dxa"/>
            <w:shd w:val="clear" w:color="auto" w:fill="FFFF00"/>
            <w:vAlign w:val="center"/>
          </w:tcPr>
          <w:p w14:paraId="572A8E63"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59</w:t>
            </w:r>
          </w:p>
        </w:tc>
      </w:tr>
    </w:tbl>
    <w:p w14:paraId="60C3BB5B" w14:textId="77777777" w:rsidR="00775354" w:rsidRDefault="00775354">
      <w:pPr>
        <w:rPr>
          <w:rFonts w:ascii="Arial" w:eastAsia="Arial" w:hAnsi="Arial" w:cs="Arial"/>
          <w:sz w:val="20"/>
          <w:szCs w:val="20"/>
        </w:rPr>
      </w:pPr>
    </w:p>
    <w:p w14:paraId="4FF7775C" w14:textId="78B676F4" w:rsidR="00775354" w:rsidRDefault="00610FF5">
      <w:pPr>
        <w:jc w:val="both"/>
        <w:rPr>
          <w:rFonts w:ascii="Arial" w:eastAsia="Arial" w:hAnsi="Arial" w:cs="Arial"/>
          <w:sz w:val="20"/>
          <w:szCs w:val="20"/>
        </w:rPr>
      </w:pPr>
      <w:r>
        <w:rPr>
          <w:rFonts w:ascii="Arial" w:eastAsia="Arial" w:hAnsi="Arial" w:cs="Arial"/>
          <w:sz w:val="20"/>
          <w:szCs w:val="20"/>
        </w:rPr>
        <w:t>En el mes de noviembre</w:t>
      </w:r>
      <w:r w:rsidR="00E145E0">
        <w:rPr>
          <w:rFonts w:ascii="Arial" w:eastAsia="Arial" w:hAnsi="Arial" w:cs="Arial"/>
          <w:sz w:val="20"/>
          <w:szCs w:val="20"/>
        </w:rPr>
        <w:t xml:space="preserve"> para el indicador de seguimiento a los gastos de funcionamiento</w:t>
      </w:r>
      <w:r>
        <w:rPr>
          <w:rFonts w:ascii="Arial" w:eastAsia="Arial" w:hAnsi="Arial" w:cs="Arial"/>
          <w:sz w:val="20"/>
          <w:szCs w:val="20"/>
        </w:rPr>
        <w:t xml:space="preserve"> 2020 no se cumplió a cabalidad con los procesos proyectados de acuerdo a las necesidades planeadas en el reporte de medición de indicadores para el seguimiento del PAA. La justificación está determinada en las prórrogas que se realizaron a los contratos extendiendo su plazo debido a la pandemia presentada en Colombia y el Mundo, reduciendo sustancialmente los servicios solicitados a los Contratistas y por ende los recursos ejecutados. Por lo </w:t>
      </w:r>
      <w:r w:rsidR="00E145E0">
        <w:rPr>
          <w:rFonts w:ascii="Arial" w:eastAsia="Arial" w:hAnsi="Arial" w:cs="Arial"/>
          <w:sz w:val="20"/>
          <w:szCs w:val="20"/>
        </w:rPr>
        <w:t>tanto,</w:t>
      </w:r>
      <w:r>
        <w:rPr>
          <w:rFonts w:ascii="Arial" w:eastAsia="Arial" w:hAnsi="Arial" w:cs="Arial"/>
          <w:sz w:val="20"/>
          <w:szCs w:val="20"/>
        </w:rPr>
        <w:t xml:space="preserve"> contratos como antivirus serán adjudicados en el próximo mes una vez se ejecuten completamente.</w:t>
      </w:r>
    </w:p>
    <w:p w14:paraId="13F81B65" w14:textId="115F85D3" w:rsidR="00E145E0" w:rsidRDefault="00E145E0">
      <w:pPr>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 xml:space="preserve">Para el indicador a cargo de la subdirección de Calidad del Aire, Auditiva y Visual en el mes de noviembre se atendieron trámites, relacionados a radicados para un total de 309 solicitudes </w:t>
      </w:r>
      <w:r w:rsidRPr="00E145E0">
        <w:rPr>
          <w:rFonts w:ascii="Helvetica" w:hAnsi="Helvetica"/>
          <w:color w:val="000000"/>
          <w:sz w:val="20"/>
          <w:szCs w:val="20"/>
          <w:shd w:val="clear" w:color="auto" w:fill="FFFFFF"/>
        </w:rPr>
        <w:t>Actualmente se presenta un acumulado de avance del 46% de la meta (Programado 648 Actuaciones, ejecutado 300) teniendo como dificultad principal la firma de las actuaciones técnicas debido a las actualizaciones a las que se ha sometido el del sistema FOREST en cuanto a trazabilidad y vinculación de radicados a procesos que tengan expedientes</w:t>
      </w:r>
      <w:r>
        <w:rPr>
          <w:rFonts w:ascii="Helvetica" w:hAnsi="Helvetica"/>
          <w:color w:val="000000"/>
          <w:sz w:val="20"/>
          <w:szCs w:val="20"/>
          <w:shd w:val="clear" w:color="auto" w:fill="FFFFFF"/>
        </w:rPr>
        <w:t>.</w:t>
      </w:r>
    </w:p>
    <w:p w14:paraId="189DBCD5" w14:textId="2BCB389C" w:rsidR="00E145E0" w:rsidRDefault="00E145E0">
      <w:pPr>
        <w:jc w:val="both"/>
        <w:rPr>
          <w:rFonts w:ascii="Arial" w:eastAsia="Arial" w:hAnsi="Arial" w:cs="Arial"/>
          <w:sz w:val="20"/>
          <w:szCs w:val="20"/>
        </w:rPr>
      </w:pPr>
      <w:r w:rsidRPr="00E145E0">
        <w:rPr>
          <w:rFonts w:ascii="Arial" w:eastAsia="Arial" w:hAnsi="Arial" w:cs="Arial"/>
          <w:sz w:val="20"/>
          <w:szCs w:val="20"/>
        </w:rPr>
        <w:t>En cumplimiento a lo establecido en el Decreto 442 de 2015 y/o 265 de 2016 La Secretaria Distrital de Ambiente SDA, desarrollo acciones de evaluación control y seguimiento ambiental a los actores de la cadena de gestión para el aprovechamiento de llantas usadas o de sus derivados en el distrito capital de conformidad con la normatividad ambiental vigente, que permitieron verificar a noviembre de 2020, el aprovechamiento de 1.263,74 ton de llantas usadas.</w:t>
      </w:r>
    </w:p>
    <w:p w14:paraId="63AAF470" w14:textId="2E478540" w:rsidR="00775354" w:rsidRDefault="002C2C73">
      <w:pPr>
        <w:jc w:val="both"/>
        <w:rPr>
          <w:rFonts w:ascii="Arial" w:eastAsia="Arial" w:hAnsi="Arial" w:cs="Arial"/>
          <w:sz w:val="20"/>
          <w:szCs w:val="20"/>
        </w:rPr>
      </w:pPr>
      <w:bookmarkStart w:id="9" w:name="_heading=h.2s8eyo1" w:colFirst="0" w:colLast="0"/>
      <w:bookmarkEnd w:id="9"/>
      <w:r>
        <w:rPr>
          <w:noProof/>
        </w:rPr>
        <w:drawing>
          <wp:anchor distT="0" distB="0" distL="114300" distR="114300" simplePos="0" relativeHeight="251669504" behindDoc="0" locked="0" layoutInCell="1" hidden="0" allowOverlap="1" wp14:anchorId="34445B50" wp14:editId="6292B015">
            <wp:simplePos x="0" y="0"/>
            <wp:positionH relativeFrom="margin">
              <wp:align>center</wp:align>
            </wp:positionH>
            <wp:positionV relativeFrom="paragraph">
              <wp:posOffset>64135</wp:posOffset>
            </wp:positionV>
            <wp:extent cx="5114925" cy="2744470"/>
            <wp:effectExtent l="0" t="0" r="9525" b="0"/>
            <wp:wrapNone/>
            <wp:docPr id="5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l="29210" t="32743" r="28027" b="29609"/>
                    <a:stretch>
                      <a:fillRect/>
                    </a:stretch>
                  </pic:blipFill>
                  <pic:spPr>
                    <a:xfrm>
                      <a:off x="0" y="0"/>
                      <a:ext cx="5114925" cy="2744470"/>
                    </a:xfrm>
                    <a:prstGeom prst="rect">
                      <a:avLst/>
                    </a:prstGeom>
                    <a:ln/>
                  </pic:spPr>
                </pic:pic>
              </a:graphicData>
            </a:graphic>
            <wp14:sizeRelH relativeFrom="margin">
              <wp14:pctWidth>0</wp14:pctWidth>
            </wp14:sizeRelH>
            <wp14:sizeRelV relativeFrom="margin">
              <wp14:pctHeight>0</wp14:pctHeight>
            </wp14:sizeRelV>
          </wp:anchor>
        </w:drawing>
      </w:r>
    </w:p>
    <w:p w14:paraId="30705BBC" w14:textId="79BA7644" w:rsidR="00775354" w:rsidRDefault="00775354">
      <w:pPr>
        <w:jc w:val="both"/>
        <w:rPr>
          <w:rFonts w:ascii="Arial" w:eastAsia="Arial" w:hAnsi="Arial" w:cs="Arial"/>
          <w:sz w:val="20"/>
          <w:szCs w:val="20"/>
        </w:rPr>
      </w:pPr>
    </w:p>
    <w:p w14:paraId="617BF61D" w14:textId="0E27446E" w:rsidR="00775354" w:rsidRDefault="00775354">
      <w:pPr>
        <w:jc w:val="both"/>
        <w:rPr>
          <w:rFonts w:ascii="Arial" w:eastAsia="Arial" w:hAnsi="Arial" w:cs="Arial"/>
          <w:sz w:val="20"/>
          <w:szCs w:val="20"/>
        </w:rPr>
      </w:pPr>
    </w:p>
    <w:p w14:paraId="6B9DA6ED" w14:textId="77777777" w:rsidR="00775354" w:rsidRDefault="00775354">
      <w:pPr>
        <w:jc w:val="both"/>
        <w:rPr>
          <w:rFonts w:ascii="Arial" w:eastAsia="Arial" w:hAnsi="Arial" w:cs="Arial"/>
          <w:sz w:val="20"/>
          <w:szCs w:val="20"/>
        </w:rPr>
      </w:pPr>
    </w:p>
    <w:p w14:paraId="1A19BD9F" w14:textId="77777777" w:rsidR="00775354" w:rsidRDefault="00775354">
      <w:pPr>
        <w:jc w:val="both"/>
        <w:rPr>
          <w:rFonts w:ascii="Arial" w:eastAsia="Arial" w:hAnsi="Arial" w:cs="Arial"/>
          <w:sz w:val="20"/>
          <w:szCs w:val="20"/>
        </w:rPr>
      </w:pPr>
    </w:p>
    <w:p w14:paraId="688C4969" w14:textId="5E9E2979" w:rsidR="00775354" w:rsidRDefault="00775354">
      <w:pPr>
        <w:jc w:val="both"/>
        <w:rPr>
          <w:rFonts w:ascii="Arial" w:eastAsia="Arial" w:hAnsi="Arial" w:cs="Arial"/>
          <w:sz w:val="20"/>
          <w:szCs w:val="20"/>
        </w:rPr>
      </w:pPr>
    </w:p>
    <w:p w14:paraId="68E93A60" w14:textId="6E455A89" w:rsidR="00775354" w:rsidRDefault="00775354">
      <w:pPr>
        <w:jc w:val="both"/>
        <w:rPr>
          <w:rFonts w:ascii="Arial" w:eastAsia="Arial" w:hAnsi="Arial" w:cs="Arial"/>
          <w:sz w:val="20"/>
          <w:szCs w:val="20"/>
        </w:rPr>
      </w:pPr>
    </w:p>
    <w:p w14:paraId="56717108" w14:textId="5CD7ED87" w:rsidR="00775354" w:rsidRDefault="00775354">
      <w:pPr>
        <w:jc w:val="both"/>
        <w:rPr>
          <w:rFonts w:ascii="Arial" w:eastAsia="Arial" w:hAnsi="Arial" w:cs="Arial"/>
          <w:sz w:val="20"/>
          <w:szCs w:val="20"/>
        </w:rPr>
      </w:pPr>
    </w:p>
    <w:p w14:paraId="590A18EB" w14:textId="3F10A6C7" w:rsidR="00775354" w:rsidRDefault="00775354">
      <w:pPr>
        <w:jc w:val="both"/>
        <w:rPr>
          <w:rFonts w:ascii="Arial" w:eastAsia="Arial" w:hAnsi="Arial" w:cs="Arial"/>
          <w:sz w:val="20"/>
          <w:szCs w:val="20"/>
        </w:rPr>
      </w:pPr>
    </w:p>
    <w:p w14:paraId="48F593EA" w14:textId="77777777" w:rsidR="00775354" w:rsidRDefault="00610FF5">
      <w:pPr>
        <w:pStyle w:val="Ttulo2"/>
        <w:numPr>
          <w:ilvl w:val="1"/>
          <w:numId w:val="2"/>
        </w:numPr>
        <w:rPr>
          <w:rFonts w:ascii="Arial" w:eastAsia="Arial" w:hAnsi="Arial" w:cs="Arial"/>
          <w:sz w:val="20"/>
          <w:szCs w:val="20"/>
        </w:rPr>
      </w:pPr>
      <w:bookmarkStart w:id="10" w:name="_heading=h.17dp8vu" w:colFirst="0" w:colLast="0"/>
      <w:bookmarkEnd w:id="10"/>
      <w:r>
        <w:rPr>
          <w:rFonts w:ascii="Arial" w:eastAsia="Arial" w:hAnsi="Arial" w:cs="Arial"/>
          <w:sz w:val="20"/>
          <w:szCs w:val="20"/>
        </w:rPr>
        <w:lastRenderedPageBreak/>
        <w:t xml:space="preserve">Indicadores con cumplimiento superior al 100% </w:t>
      </w:r>
    </w:p>
    <w:p w14:paraId="1038590B" w14:textId="77777777" w:rsidR="00775354" w:rsidRDefault="00775354">
      <w:pPr>
        <w:rPr>
          <w:rFonts w:ascii="Arial" w:eastAsia="Arial" w:hAnsi="Arial" w:cs="Arial"/>
          <w:sz w:val="20"/>
          <w:szCs w:val="20"/>
        </w:rPr>
      </w:pPr>
    </w:p>
    <w:p w14:paraId="5CBCB716" w14:textId="15E08B30" w:rsidR="00775354" w:rsidRDefault="00610FF5">
      <w:pPr>
        <w:jc w:val="both"/>
        <w:rPr>
          <w:rFonts w:ascii="Arial" w:eastAsia="Arial" w:hAnsi="Arial" w:cs="Arial"/>
          <w:sz w:val="20"/>
          <w:szCs w:val="20"/>
        </w:rPr>
      </w:pPr>
      <w:r>
        <w:rPr>
          <w:rFonts w:ascii="Arial" w:eastAsia="Arial" w:hAnsi="Arial" w:cs="Arial"/>
          <w:sz w:val="20"/>
          <w:szCs w:val="20"/>
        </w:rPr>
        <w:t>En la evaluación de los indicadores se evidenciaron 1</w:t>
      </w:r>
      <w:r w:rsidR="003533FD">
        <w:rPr>
          <w:rFonts w:ascii="Arial" w:eastAsia="Arial" w:hAnsi="Arial" w:cs="Arial"/>
          <w:sz w:val="20"/>
          <w:szCs w:val="20"/>
        </w:rPr>
        <w:t>3</w:t>
      </w:r>
      <w:r>
        <w:rPr>
          <w:rFonts w:ascii="Arial" w:eastAsia="Arial" w:hAnsi="Arial" w:cs="Arial"/>
          <w:sz w:val="20"/>
          <w:szCs w:val="20"/>
        </w:rPr>
        <w:t xml:space="preserve"> indicadores que presentaron cumplimiento superior al 100%, atribuidos a la ejecución de actividades adicionales que se realizaron de manera oportuna, permitiendo superar la meta programada.</w:t>
      </w:r>
    </w:p>
    <w:tbl>
      <w:tblPr>
        <w:tblStyle w:val="a2"/>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1D586545" w14:textId="77777777">
        <w:tc>
          <w:tcPr>
            <w:tcW w:w="1980" w:type="dxa"/>
            <w:shd w:val="clear" w:color="auto" w:fill="DBDBDB"/>
            <w:vAlign w:val="center"/>
          </w:tcPr>
          <w:p w14:paraId="4EC8BAC1"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05B1704F"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032E3349"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1E722DEB"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775354" w14:paraId="256EF775" w14:textId="77777777">
        <w:tc>
          <w:tcPr>
            <w:tcW w:w="1980" w:type="dxa"/>
            <w:vMerge w:val="restart"/>
            <w:shd w:val="clear" w:color="auto" w:fill="auto"/>
            <w:vAlign w:val="center"/>
          </w:tcPr>
          <w:p w14:paraId="6331CAD3"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Participación y educación ambiental</w:t>
            </w:r>
          </w:p>
        </w:tc>
        <w:tc>
          <w:tcPr>
            <w:tcW w:w="1843" w:type="dxa"/>
            <w:vMerge w:val="restart"/>
            <w:shd w:val="clear" w:color="auto" w:fill="auto"/>
            <w:vAlign w:val="center"/>
          </w:tcPr>
          <w:p w14:paraId="083EFACA"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Oficina de Participación Educación y Localidades</w:t>
            </w:r>
          </w:p>
        </w:tc>
        <w:tc>
          <w:tcPr>
            <w:tcW w:w="3827" w:type="dxa"/>
            <w:shd w:val="clear" w:color="auto" w:fill="auto"/>
            <w:vAlign w:val="center"/>
          </w:tcPr>
          <w:p w14:paraId="7327CDB4"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Número de personas vinculadas en las estrategias de educación ambiental</w:t>
            </w:r>
          </w:p>
        </w:tc>
        <w:tc>
          <w:tcPr>
            <w:tcW w:w="1276" w:type="dxa"/>
            <w:shd w:val="clear" w:color="auto" w:fill="5CEC14"/>
            <w:vAlign w:val="center"/>
          </w:tcPr>
          <w:p w14:paraId="590B66AE"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191</w:t>
            </w:r>
          </w:p>
        </w:tc>
      </w:tr>
      <w:tr w:rsidR="00775354" w14:paraId="62216087" w14:textId="77777777">
        <w:tc>
          <w:tcPr>
            <w:tcW w:w="1980" w:type="dxa"/>
            <w:vMerge/>
            <w:shd w:val="clear" w:color="auto" w:fill="auto"/>
            <w:vAlign w:val="center"/>
          </w:tcPr>
          <w:p w14:paraId="2D17F99B"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0BCF685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2EE2411F"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Número de personas vinculadas en la estrategia de participación ciudadana</w:t>
            </w:r>
          </w:p>
        </w:tc>
        <w:tc>
          <w:tcPr>
            <w:tcW w:w="1276" w:type="dxa"/>
            <w:shd w:val="clear" w:color="auto" w:fill="5CEC14"/>
            <w:vAlign w:val="center"/>
          </w:tcPr>
          <w:p w14:paraId="38E91D9A"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133</w:t>
            </w:r>
          </w:p>
        </w:tc>
      </w:tr>
      <w:tr w:rsidR="00775354" w14:paraId="3AA754BC" w14:textId="77777777">
        <w:tc>
          <w:tcPr>
            <w:tcW w:w="1980" w:type="dxa"/>
            <w:vMerge w:val="restart"/>
            <w:shd w:val="clear" w:color="auto" w:fill="auto"/>
            <w:vAlign w:val="center"/>
          </w:tcPr>
          <w:p w14:paraId="3581151A"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Evaluación, Control y Seguimiento</w:t>
            </w:r>
          </w:p>
          <w:p w14:paraId="34135C2A" w14:textId="77777777" w:rsidR="00775354" w:rsidRDefault="00775354">
            <w:pPr>
              <w:jc w:val="center"/>
              <w:rPr>
                <w:rFonts w:ascii="Arial" w:eastAsia="Arial" w:hAnsi="Arial" w:cs="Arial"/>
                <w:color w:val="000000"/>
                <w:sz w:val="20"/>
                <w:szCs w:val="20"/>
              </w:rPr>
            </w:pPr>
          </w:p>
          <w:p w14:paraId="65C3894D" w14:textId="77777777" w:rsidR="00775354" w:rsidRDefault="00775354">
            <w:pPr>
              <w:jc w:val="center"/>
              <w:rPr>
                <w:rFonts w:ascii="Arial" w:eastAsia="Arial" w:hAnsi="Arial" w:cs="Arial"/>
                <w:color w:val="000000"/>
                <w:sz w:val="20"/>
                <w:szCs w:val="20"/>
              </w:rPr>
            </w:pPr>
          </w:p>
        </w:tc>
        <w:tc>
          <w:tcPr>
            <w:tcW w:w="1843" w:type="dxa"/>
            <w:vMerge w:val="restart"/>
            <w:shd w:val="clear" w:color="auto" w:fill="auto"/>
            <w:vAlign w:val="center"/>
          </w:tcPr>
          <w:p w14:paraId="19774B3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de Calidad del Aire, Auditiva y Visual.</w:t>
            </w:r>
          </w:p>
        </w:tc>
        <w:tc>
          <w:tcPr>
            <w:tcW w:w="3827" w:type="dxa"/>
            <w:shd w:val="clear" w:color="auto" w:fill="auto"/>
            <w:vAlign w:val="center"/>
          </w:tcPr>
          <w:p w14:paraId="108CE9E1" w14:textId="36B26698"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 xml:space="preserve">Acciones de seguimiento y control sobre los elementos de publicidad exterior visual - PEV, instalados en </w:t>
            </w:r>
            <w:r w:rsidR="002C2C73">
              <w:rPr>
                <w:rFonts w:ascii="Arial" w:eastAsia="Arial" w:hAnsi="Arial" w:cs="Arial"/>
                <w:color w:val="000000"/>
                <w:sz w:val="20"/>
                <w:szCs w:val="20"/>
              </w:rPr>
              <w:t>las zonas</w:t>
            </w:r>
            <w:r>
              <w:rPr>
                <w:rFonts w:ascii="Arial" w:eastAsia="Arial" w:hAnsi="Arial" w:cs="Arial"/>
                <w:color w:val="000000"/>
                <w:sz w:val="20"/>
                <w:szCs w:val="20"/>
              </w:rPr>
              <w:t xml:space="preserve"> con mayor densidad.</w:t>
            </w:r>
          </w:p>
        </w:tc>
        <w:tc>
          <w:tcPr>
            <w:tcW w:w="1276" w:type="dxa"/>
            <w:shd w:val="clear" w:color="auto" w:fill="5CEC14"/>
            <w:vAlign w:val="center"/>
          </w:tcPr>
          <w:p w14:paraId="08F50401"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134</w:t>
            </w:r>
          </w:p>
        </w:tc>
      </w:tr>
      <w:tr w:rsidR="00775354" w14:paraId="0B4AF472" w14:textId="77777777">
        <w:tc>
          <w:tcPr>
            <w:tcW w:w="1980" w:type="dxa"/>
            <w:vMerge/>
            <w:shd w:val="clear" w:color="auto" w:fill="auto"/>
            <w:vAlign w:val="center"/>
          </w:tcPr>
          <w:p w14:paraId="406A76E1"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4F5F739F"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1BE38B75"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Acciones de seguimiento y control de emisión de ruido a los establecimientos de comercio, industria y servicio ubicados en el perímetro urbano del D.C.</w:t>
            </w:r>
          </w:p>
        </w:tc>
        <w:tc>
          <w:tcPr>
            <w:tcW w:w="1276" w:type="dxa"/>
            <w:shd w:val="clear" w:color="auto" w:fill="5CEC14"/>
            <w:vAlign w:val="center"/>
          </w:tcPr>
          <w:p w14:paraId="0369C22D"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121</w:t>
            </w:r>
          </w:p>
        </w:tc>
      </w:tr>
      <w:tr w:rsidR="00775354" w14:paraId="39414996" w14:textId="77777777">
        <w:tc>
          <w:tcPr>
            <w:tcW w:w="1980" w:type="dxa"/>
            <w:vMerge/>
            <w:shd w:val="clear" w:color="auto" w:fill="auto"/>
            <w:vAlign w:val="center"/>
          </w:tcPr>
          <w:p w14:paraId="55906073"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1ED10DF8"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5511B60A" w14:textId="0255037B" w:rsidR="00775354" w:rsidRDefault="002C2C73">
            <w:pPr>
              <w:jc w:val="both"/>
              <w:rPr>
                <w:rFonts w:ascii="Arial" w:eastAsia="Arial" w:hAnsi="Arial" w:cs="Arial"/>
                <w:color w:val="000000"/>
                <w:sz w:val="20"/>
                <w:szCs w:val="20"/>
              </w:rPr>
            </w:pPr>
            <w:r>
              <w:rPr>
                <w:rFonts w:ascii="Arial" w:eastAsia="Arial" w:hAnsi="Arial" w:cs="Arial"/>
                <w:color w:val="000000"/>
                <w:sz w:val="20"/>
                <w:szCs w:val="20"/>
              </w:rPr>
              <w:t>Revisar vehículos</w:t>
            </w:r>
            <w:r w:rsidR="00610FF5">
              <w:rPr>
                <w:rFonts w:ascii="Arial" w:eastAsia="Arial" w:hAnsi="Arial" w:cs="Arial"/>
                <w:color w:val="000000"/>
                <w:sz w:val="20"/>
                <w:szCs w:val="20"/>
              </w:rPr>
              <w:t xml:space="preserve"> que transiten por el Distrito Capital.</w:t>
            </w:r>
          </w:p>
        </w:tc>
        <w:tc>
          <w:tcPr>
            <w:tcW w:w="1276" w:type="dxa"/>
            <w:shd w:val="clear" w:color="auto" w:fill="5CEC14"/>
            <w:vAlign w:val="center"/>
          </w:tcPr>
          <w:p w14:paraId="23817A6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148</w:t>
            </w:r>
          </w:p>
        </w:tc>
      </w:tr>
      <w:tr w:rsidR="00775354" w14:paraId="12904917" w14:textId="77777777">
        <w:tc>
          <w:tcPr>
            <w:tcW w:w="1980" w:type="dxa"/>
            <w:vMerge w:val="restart"/>
            <w:shd w:val="clear" w:color="auto" w:fill="auto"/>
            <w:vAlign w:val="center"/>
          </w:tcPr>
          <w:p w14:paraId="18B0D19E"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Tecnológica</w:t>
            </w:r>
          </w:p>
        </w:tc>
        <w:tc>
          <w:tcPr>
            <w:tcW w:w="1843" w:type="dxa"/>
            <w:vMerge w:val="restart"/>
            <w:shd w:val="clear" w:color="auto" w:fill="auto"/>
            <w:vAlign w:val="center"/>
          </w:tcPr>
          <w:p w14:paraId="526650DF"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Dirección de Planeación y Sistemas de Información Ambiental</w:t>
            </w:r>
          </w:p>
        </w:tc>
        <w:tc>
          <w:tcPr>
            <w:tcW w:w="3827" w:type="dxa"/>
            <w:shd w:val="clear" w:color="auto" w:fill="auto"/>
            <w:vAlign w:val="center"/>
          </w:tcPr>
          <w:p w14:paraId="3A3956E0"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Porcentaje de avance en el fortalecimiento de gestión de la información ambiental de Bogotá priorizada</w:t>
            </w:r>
          </w:p>
        </w:tc>
        <w:tc>
          <w:tcPr>
            <w:tcW w:w="1276" w:type="dxa"/>
            <w:shd w:val="clear" w:color="auto" w:fill="5CEC14"/>
            <w:vAlign w:val="center"/>
          </w:tcPr>
          <w:p w14:paraId="44C69D60"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105</w:t>
            </w:r>
          </w:p>
        </w:tc>
      </w:tr>
      <w:tr w:rsidR="00775354" w14:paraId="137AA637" w14:textId="77777777">
        <w:tc>
          <w:tcPr>
            <w:tcW w:w="1980" w:type="dxa"/>
            <w:vMerge/>
            <w:shd w:val="clear" w:color="auto" w:fill="auto"/>
            <w:vAlign w:val="center"/>
          </w:tcPr>
          <w:p w14:paraId="4450A95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657D01A3"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07B4A94D"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Servicios de información actualizados</w:t>
            </w:r>
          </w:p>
        </w:tc>
        <w:tc>
          <w:tcPr>
            <w:tcW w:w="1276" w:type="dxa"/>
            <w:shd w:val="clear" w:color="auto" w:fill="5CEC14"/>
            <w:vAlign w:val="center"/>
          </w:tcPr>
          <w:p w14:paraId="38CFB5B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136</w:t>
            </w:r>
          </w:p>
        </w:tc>
      </w:tr>
      <w:tr w:rsidR="00775354" w14:paraId="05AB3D2D" w14:textId="77777777">
        <w:tc>
          <w:tcPr>
            <w:tcW w:w="1980" w:type="dxa"/>
            <w:vMerge/>
            <w:shd w:val="clear" w:color="auto" w:fill="auto"/>
            <w:vAlign w:val="center"/>
          </w:tcPr>
          <w:p w14:paraId="63474E11"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418AC3F5"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038C696C"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Servicios de información implementados</w:t>
            </w:r>
          </w:p>
        </w:tc>
        <w:tc>
          <w:tcPr>
            <w:tcW w:w="1276" w:type="dxa"/>
            <w:shd w:val="clear" w:color="auto" w:fill="5CEC14"/>
            <w:vAlign w:val="center"/>
          </w:tcPr>
          <w:p w14:paraId="3CB4F86D"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200</w:t>
            </w:r>
          </w:p>
        </w:tc>
      </w:tr>
      <w:tr w:rsidR="00775354" w14:paraId="24C98983" w14:textId="77777777">
        <w:tc>
          <w:tcPr>
            <w:tcW w:w="1980" w:type="dxa"/>
            <w:vMerge/>
            <w:shd w:val="clear" w:color="auto" w:fill="auto"/>
            <w:vAlign w:val="center"/>
          </w:tcPr>
          <w:p w14:paraId="15569714"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35EEA8CB"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1FCE3503"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Eficacia en la atención de requerimientos e incidentes atención de TI por mesa de servicios</w:t>
            </w:r>
          </w:p>
        </w:tc>
        <w:tc>
          <w:tcPr>
            <w:tcW w:w="1276" w:type="dxa"/>
            <w:shd w:val="clear" w:color="auto" w:fill="5CEC14"/>
            <w:vAlign w:val="center"/>
          </w:tcPr>
          <w:p w14:paraId="44D46F9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111</w:t>
            </w:r>
          </w:p>
        </w:tc>
      </w:tr>
      <w:tr w:rsidR="00775354" w14:paraId="44B845EF" w14:textId="77777777">
        <w:tc>
          <w:tcPr>
            <w:tcW w:w="1980" w:type="dxa"/>
            <w:shd w:val="clear" w:color="auto" w:fill="auto"/>
            <w:vAlign w:val="center"/>
          </w:tcPr>
          <w:p w14:paraId="62AD2D05"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Financiera</w:t>
            </w:r>
          </w:p>
        </w:tc>
        <w:tc>
          <w:tcPr>
            <w:tcW w:w="1843" w:type="dxa"/>
            <w:shd w:val="clear" w:color="auto" w:fill="auto"/>
            <w:vAlign w:val="center"/>
          </w:tcPr>
          <w:p w14:paraId="28A50F21"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Subdirección Financiera</w:t>
            </w:r>
          </w:p>
        </w:tc>
        <w:tc>
          <w:tcPr>
            <w:tcW w:w="3827" w:type="dxa"/>
            <w:shd w:val="clear" w:color="auto" w:fill="auto"/>
            <w:vAlign w:val="center"/>
          </w:tcPr>
          <w:p w14:paraId="5F42378F"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Seguimiento aleatorio a la gestión de pagos</w:t>
            </w:r>
          </w:p>
        </w:tc>
        <w:tc>
          <w:tcPr>
            <w:tcW w:w="1276" w:type="dxa"/>
            <w:shd w:val="clear" w:color="auto" w:fill="5CEC14"/>
            <w:vAlign w:val="center"/>
          </w:tcPr>
          <w:p w14:paraId="0A5A493C"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109</w:t>
            </w:r>
          </w:p>
        </w:tc>
      </w:tr>
      <w:tr w:rsidR="00775354" w14:paraId="655F0F09" w14:textId="77777777">
        <w:tc>
          <w:tcPr>
            <w:tcW w:w="1980" w:type="dxa"/>
            <w:vMerge w:val="restart"/>
            <w:shd w:val="clear" w:color="auto" w:fill="auto"/>
            <w:vAlign w:val="center"/>
          </w:tcPr>
          <w:p w14:paraId="6C5FB212" w14:textId="77777777" w:rsidR="00775354" w:rsidRDefault="00610FF5">
            <w:pPr>
              <w:jc w:val="center"/>
            </w:pPr>
            <w:r>
              <w:rPr>
                <w:rFonts w:ascii="Arial" w:eastAsia="Arial" w:hAnsi="Arial" w:cs="Arial"/>
                <w:color w:val="000000"/>
                <w:sz w:val="20"/>
                <w:szCs w:val="20"/>
              </w:rPr>
              <w:t>Evaluación, Control y Seguimiento</w:t>
            </w:r>
          </w:p>
        </w:tc>
        <w:tc>
          <w:tcPr>
            <w:tcW w:w="1843" w:type="dxa"/>
            <w:vMerge w:val="restart"/>
            <w:shd w:val="clear" w:color="auto" w:fill="auto"/>
            <w:vAlign w:val="center"/>
          </w:tcPr>
          <w:p w14:paraId="2E3F4AFC" w14:textId="77777777" w:rsidR="00775354" w:rsidRDefault="00610FF5">
            <w:pPr>
              <w:jc w:val="center"/>
            </w:pPr>
            <w:r>
              <w:rPr>
                <w:rFonts w:ascii="Arial" w:eastAsia="Arial" w:hAnsi="Arial" w:cs="Arial"/>
                <w:b/>
                <w:color w:val="000000"/>
                <w:sz w:val="20"/>
                <w:szCs w:val="20"/>
              </w:rPr>
              <w:t>Subdirección de Control Ambiental al Sector Público</w:t>
            </w:r>
          </w:p>
        </w:tc>
        <w:tc>
          <w:tcPr>
            <w:tcW w:w="3827" w:type="dxa"/>
            <w:shd w:val="clear" w:color="auto" w:fill="auto"/>
            <w:vAlign w:val="center"/>
          </w:tcPr>
          <w:p w14:paraId="4D2C757F"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Toneladas de Residuos de Construcción y Demolición dispuestas adecuadamente por las obras de construcción controladas por la SDA.</w:t>
            </w:r>
          </w:p>
        </w:tc>
        <w:tc>
          <w:tcPr>
            <w:tcW w:w="1276" w:type="dxa"/>
            <w:shd w:val="clear" w:color="auto" w:fill="5CEC14"/>
            <w:vAlign w:val="center"/>
          </w:tcPr>
          <w:p w14:paraId="3DA45BB5"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127</w:t>
            </w:r>
          </w:p>
        </w:tc>
      </w:tr>
      <w:tr w:rsidR="00775354" w14:paraId="425103AD" w14:textId="77777777">
        <w:tc>
          <w:tcPr>
            <w:tcW w:w="1980" w:type="dxa"/>
            <w:vMerge/>
            <w:shd w:val="clear" w:color="auto" w:fill="auto"/>
            <w:vAlign w:val="center"/>
          </w:tcPr>
          <w:p w14:paraId="0AD0B5C6"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03DA16D2"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60AA1801"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Toneladas de Residuos de Construcción y Demolición reutilizados o aprovechados por las obras de construcción controladas por la SDA</w:t>
            </w:r>
          </w:p>
        </w:tc>
        <w:tc>
          <w:tcPr>
            <w:tcW w:w="1276" w:type="dxa"/>
            <w:shd w:val="clear" w:color="auto" w:fill="5CEC14"/>
            <w:vAlign w:val="center"/>
          </w:tcPr>
          <w:p w14:paraId="7867D486"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150</w:t>
            </w:r>
          </w:p>
        </w:tc>
      </w:tr>
      <w:tr w:rsidR="00775354" w14:paraId="1345FFB6" w14:textId="77777777">
        <w:tc>
          <w:tcPr>
            <w:tcW w:w="1980" w:type="dxa"/>
            <w:vMerge/>
            <w:shd w:val="clear" w:color="auto" w:fill="auto"/>
            <w:vAlign w:val="center"/>
          </w:tcPr>
          <w:p w14:paraId="3906EC60"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843" w:type="dxa"/>
            <w:vMerge/>
            <w:shd w:val="clear" w:color="auto" w:fill="auto"/>
            <w:vAlign w:val="center"/>
          </w:tcPr>
          <w:p w14:paraId="59A6E143" w14:textId="77777777" w:rsidR="00775354" w:rsidRDefault="00775354">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3827" w:type="dxa"/>
            <w:shd w:val="clear" w:color="auto" w:fill="auto"/>
            <w:vAlign w:val="center"/>
          </w:tcPr>
          <w:p w14:paraId="721C9EA1"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Toneladas de residuos peligrosos gestionadas externamente por establecimientos de salud humana y afines (veterinarias, moteles, peluquerías entre otros) controlados por la SDA.</w:t>
            </w:r>
          </w:p>
        </w:tc>
        <w:tc>
          <w:tcPr>
            <w:tcW w:w="1276" w:type="dxa"/>
            <w:shd w:val="clear" w:color="auto" w:fill="5CEC14"/>
            <w:vAlign w:val="center"/>
          </w:tcPr>
          <w:p w14:paraId="4EFE77C7"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133</w:t>
            </w:r>
          </w:p>
        </w:tc>
      </w:tr>
    </w:tbl>
    <w:p w14:paraId="7F6FAA9A" w14:textId="1273242F" w:rsidR="00775354" w:rsidRDefault="00775354">
      <w:pPr>
        <w:rPr>
          <w:rFonts w:ascii="Arial" w:eastAsia="Arial" w:hAnsi="Arial" w:cs="Arial"/>
          <w:sz w:val="20"/>
          <w:szCs w:val="20"/>
        </w:rPr>
      </w:pPr>
    </w:p>
    <w:p w14:paraId="663FCFC7" w14:textId="10828013" w:rsidR="002C2C73" w:rsidRDefault="002C2C73">
      <w:pPr>
        <w:rPr>
          <w:rFonts w:ascii="Helvetica" w:hAnsi="Helvetica"/>
          <w:color w:val="000000"/>
          <w:sz w:val="20"/>
          <w:szCs w:val="20"/>
          <w:shd w:val="clear" w:color="auto" w:fill="FFFFFF"/>
        </w:rPr>
      </w:pPr>
      <w:r>
        <w:rPr>
          <w:rFonts w:ascii="Arial" w:eastAsia="Arial" w:hAnsi="Arial" w:cs="Arial"/>
          <w:sz w:val="20"/>
          <w:szCs w:val="20"/>
        </w:rPr>
        <w:t>En los indicadores relacionados a la vinculación de ciudadanos con las activi</w:t>
      </w:r>
      <w:r w:rsidR="0087714C">
        <w:rPr>
          <w:rFonts w:ascii="Arial" w:eastAsia="Arial" w:hAnsi="Arial" w:cs="Arial"/>
          <w:sz w:val="20"/>
          <w:szCs w:val="20"/>
        </w:rPr>
        <w:t>dades de la SDA, l</w:t>
      </w:r>
      <w:r w:rsidR="0087714C">
        <w:rPr>
          <w:rFonts w:ascii="Helvetica" w:hAnsi="Helvetica"/>
          <w:color w:val="000000"/>
          <w:sz w:val="20"/>
          <w:szCs w:val="20"/>
          <w:shd w:val="clear" w:color="auto" w:fill="FFFFFF"/>
        </w:rPr>
        <w:t>as acciones de educación ambiental por medio de plataformas virtuales de libre acceso, han tenido bastante acogida por parte de los ciudadanos, aumentando el número de participantes y superando la meta programada durante la vigencia.</w:t>
      </w:r>
    </w:p>
    <w:p w14:paraId="237DB6DA" w14:textId="461AD5C2" w:rsidR="00404C27" w:rsidRDefault="0087714C">
      <w:pPr>
        <w:rPr>
          <w:rFonts w:ascii="Arial" w:eastAsia="Arial" w:hAnsi="Arial" w:cs="Arial"/>
          <w:sz w:val="20"/>
          <w:szCs w:val="20"/>
        </w:rPr>
      </w:pPr>
      <w:r>
        <w:rPr>
          <w:rFonts w:ascii="Arial" w:eastAsia="Arial" w:hAnsi="Arial" w:cs="Arial"/>
          <w:sz w:val="20"/>
          <w:szCs w:val="20"/>
        </w:rPr>
        <w:lastRenderedPageBreak/>
        <w:t xml:space="preserve">La </w:t>
      </w:r>
      <w:r w:rsidRPr="0087714C">
        <w:rPr>
          <w:rFonts w:ascii="Arial" w:eastAsia="Arial" w:hAnsi="Arial" w:cs="Arial"/>
          <w:sz w:val="20"/>
          <w:szCs w:val="20"/>
        </w:rPr>
        <w:t>Subdirección de Calidad del Aire, Auditiva y Visual</w:t>
      </w:r>
      <w:r>
        <w:rPr>
          <w:rFonts w:ascii="Arial" w:eastAsia="Arial" w:hAnsi="Arial" w:cs="Arial"/>
          <w:sz w:val="20"/>
          <w:szCs w:val="20"/>
        </w:rPr>
        <w:t>, presentó un sobre cumplimiento en los indicadores relacionados en la tabla anterior, debido a la ejecución de las actividades programadas para el mes de noviembre y periodos anteriores.</w:t>
      </w:r>
    </w:p>
    <w:p w14:paraId="79782241" w14:textId="0FF33B1F" w:rsidR="0087714C" w:rsidRDefault="00404C27" w:rsidP="00404C27">
      <w:pPr>
        <w:rPr>
          <w:rFonts w:ascii="Arial" w:eastAsia="Arial" w:hAnsi="Arial" w:cs="Arial"/>
          <w:sz w:val="20"/>
          <w:szCs w:val="20"/>
        </w:rPr>
      </w:pPr>
      <w:r>
        <w:rPr>
          <w:rFonts w:ascii="Arial" w:eastAsia="Arial" w:hAnsi="Arial" w:cs="Arial"/>
          <w:sz w:val="20"/>
          <w:szCs w:val="20"/>
        </w:rPr>
        <w:t>En el proceso de gestión de tecnología se presento sobre cumplimiento de las actividades programadas para el periodo de noviembre, lo que llevo al cumplimiento de la meta al 95% adelantando actividades programad</w:t>
      </w:r>
      <w:r w:rsidR="00B223DD">
        <w:rPr>
          <w:rFonts w:ascii="Arial" w:eastAsia="Arial" w:hAnsi="Arial" w:cs="Arial"/>
          <w:sz w:val="20"/>
          <w:szCs w:val="20"/>
        </w:rPr>
        <w:t>as.</w:t>
      </w:r>
    </w:p>
    <w:p w14:paraId="7D475244" w14:textId="77777777" w:rsidR="0087714C" w:rsidRDefault="0087714C">
      <w:pPr>
        <w:rPr>
          <w:rFonts w:ascii="Arial" w:eastAsia="Arial" w:hAnsi="Arial" w:cs="Arial"/>
          <w:sz w:val="20"/>
          <w:szCs w:val="20"/>
        </w:rPr>
      </w:pPr>
    </w:p>
    <w:p w14:paraId="773AEA8D" w14:textId="13011CFB" w:rsidR="00775354" w:rsidRDefault="00775354">
      <w:pPr>
        <w:jc w:val="both"/>
        <w:rPr>
          <w:rFonts w:ascii="Arial" w:eastAsia="Arial" w:hAnsi="Arial" w:cs="Arial"/>
          <w:sz w:val="20"/>
          <w:szCs w:val="20"/>
        </w:rPr>
      </w:pPr>
    </w:p>
    <w:p w14:paraId="2A452753" w14:textId="7632DF40" w:rsidR="00775354" w:rsidRDefault="00775354">
      <w:pPr>
        <w:jc w:val="both"/>
        <w:rPr>
          <w:rFonts w:ascii="Arial" w:eastAsia="Arial" w:hAnsi="Arial" w:cs="Arial"/>
          <w:sz w:val="20"/>
          <w:szCs w:val="20"/>
        </w:rPr>
      </w:pPr>
    </w:p>
    <w:p w14:paraId="3A02579F" w14:textId="2CC1735F" w:rsidR="00775354" w:rsidRDefault="002C2C73">
      <w:pPr>
        <w:jc w:val="both"/>
        <w:rPr>
          <w:rFonts w:ascii="Arial" w:eastAsia="Arial" w:hAnsi="Arial" w:cs="Arial"/>
          <w:sz w:val="20"/>
          <w:szCs w:val="20"/>
        </w:rPr>
      </w:pPr>
      <w:r>
        <w:rPr>
          <w:noProof/>
        </w:rPr>
        <w:drawing>
          <wp:anchor distT="0" distB="0" distL="114300" distR="114300" simplePos="0" relativeHeight="251670528" behindDoc="0" locked="0" layoutInCell="1" hidden="0" allowOverlap="1" wp14:anchorId="09EA740C" wp14:editId="1473C11B">
            <wp:simplePos x="0" y="0"/>
            <wp:positionH relativeFrom="margin">
              <wp:align>left</wp:align>
            </wp:positionH>
            <wp:positionV relativeFrom="paragraph">
              <wp:posOffset>-316865</wp:posOffset>
            </wp:positionV>
            <wp:extent cx="5355802" cy="3237836"/>
            <wp:effectExtent l="0" t="0" r="0" b="1270"/>
            <wp:wrapNone/>
            <wp:docPr id="54" name="image5.jpg" descr="Imagen relacionada"/>
            <wp:cNvGraphicFramePr/>
            <a:graphic xmlns:a="http://schemas.openxmlformats.org/drawingml/2006/main">
              <a:graphicData uri="http://schemas.openxmlformats.org/drawingml/2006/picture">
                <pic:pic xmlns:pic="http://schemas.openxmlformats.org/drawingml/2006/picture">
                  <pic:nvPicPr>
                    <pic:cNvPr id="0" name="image5.jpg" descr="Imagen relacionada"/>
                    <pic:cNvPicPr preferRelativeResize="0"/>
                  </pic:nvPicPr>
                  <pic:blipFill>
                    <a:blip r:embed="rId19"/>
                    <a:srcRect/>
                    <a:stretch>
                      <a:fillRect/>
                    </a:stretch>
                  </pic:blipFill>
                  <pic:spPr>
                    <a:xfrm>
                      <a:off x="0" y="0"/>
                      <a:ext cx="5355802" cy="3237836"/>
                    </a:xfrm>
                    <a:prstGeom prst="rect">
                      <a:avLst/>
                    </a:prstGeom>
                    <a:ln/>
                  </pic:spPr>
                </pic:pic>
              </a:graphicData>
            </a:graphic>
          </wp:anchor>
        </w:drawing>
      </w:r>
    </w:p>
    <w:p w14:paraId="06E838A5" w14:textId="77777777" w:rsidR="00775354" w:rsidRDefault="00775354">
      <w:pPr>
        <w:jc w:val="both"/>
        <w:rPr>
          <w:rFonts w:ascii="Arial" w:eastAsia="Arial" w:hAnsi="Arial" w:cs="Arial"/>
          <w:sz w:val="20"/>
          <w:szCs w:val="20"/>
        </w:rPr>
      </w:pPr>
    </w:p>
    <w:p w14:paraId="15D1C92B" w14:textId="77777777" w:rsidR="00775354" w:rsidRDefault="00775354">
      <w:pPr>
        <w:jc w:val="both"/>
        <w:rPr>
          <w:rFonts w:ascii="Arial" w:eastAsia="Arial" w:hAnsi="Arial" w:cs="Arial"/>
          <w:sz w:val="20"/>
          <w:szCs w:val="20"/>
        </w:rPr>
      </w:pPr>
    </w:p>
    <w:p w14:paraId="2C1F2514" w14:textId="77777777" w:rsidR="00775354" w:rsidRDefault="00775354">
      <w:pPr>
        <w:jc w:val="both"/>
        <w:rPr>
          <w:rFonts w:ascii="Arial" w:eastAsia="Arial" w:hAnsi="Arial" w:cs="Arial"/>
          <w:sz w:val="20"/>
          <w:szCs w:val="20"/>
        </w:rPr>
      </w:pPr>
    </w:p>
    <w:p w14:paraId="41DE3B6B" w14:textId="77777777" w:rsidR="00775354" w:rsidRDefault="00775354">
      <w:pPr>
        <w:jc w:val="both"/>
        <w:rPr>
          <w:rFonts w:ascii="Arial" w:eastAsia="Arial" w:hAnsi="Arial" w:cs="Arial"/>
          <w:sz w:val="20"/>
          <w:szCs w:val="20"/>
        </w:rPr>
      </w:pPr>
    </w:p>
    <w:p w14:paraId="059A58D5" w14:textId="77777777" w:rsidR="00775354" w:rsidRDefault="00775354">
      <w:pPr>
        <w:jc w:val="both"/>
        <w:rPr>
          <w:rFonts w:ascii="Arial" w:eastAsia="Arial" w:hAnsi="Arial" w:cs="Arial"/>
          <w:sz w:val="20"/>
          <w:szCs w:val="20"/>
        </w:rPr>
      </w:pPr>
    </w:p>
    <w:p w14:paraId="0D4E9882" w14:textId="77777777" w:rsidR="00775354" w:rsidRDefault="00775354">
      <w:pPr>
        <w:jc w:val="both"/>
        <w:rPr>
          <w:rFonts w:ascii="Arial" w:eastAsia="Arial" w:hAnsi="Arial" w:cs="Arial"/>
          <w:sz w:val="20"/>
          <w:szCs w:val="20"/>
        </w:rPr>
      </w:pPr>
    </w:p>
    <w:p w14:paraId="1B3D5E63" w14:textId="77777777" w:rsidR="00775354" w:rsidRDefault="00775354">
      <w:pPr>
        <w:jc w:val="both"/>
        <w:rPr>
          <w:rFonts w:ascii="Arial" w:eastAsia="Arial" w:hAnsi="Arial" w:cs="Arial"/>
          <w:sz w:val="20"/>
          <w:szCs w:val="20"/>
        </w:rPr>
      </w:pPr>
    </w:p>
    <w:p w14:paraId="1C5AC76C" w14:textId="77777777" w:rsidR="00775354" w:rsidRDefault="00775354">
      <w:pPr>
        <w:jc w:val="both"/>
        <w:rPr>
          <w:rFonts w:ascii="Arial" w:eastAsia="Arial" w:hAnsi="Arial" w:cs="Arial"/>
          <w:sz w:val="20"/>
          <w:szCs w:val="20"/>
        </w:rPr>
      </w:pPr>
    </w:p>
    <w:p w14:paraId="61A12A56" w14:textId="77777777" w:rsidR="00775354" w:rsidRDefault="00775354">
      <w:pPr>
        <w:jc w:val="both"/>
        <w:rPr>
          <w:rFonts w:ascii="Arial" w:eastAsia="Arial" w:hAnsi="Arial" w:cs="Arial"/>
          <w:sz w:val="20"/>
          <w:szCs w:val="20"/>
        </w:rPr>
      </w:pPr>
    </w:p>
    <w:p w14:paraId="7EE2169B" w14:textId="77777777" w:rsidR="00775354" w:rsidRDefault="00775354">
      <w:pPr>
        <w:jc w:val="both"/>
        <w:rPr>
          <w:rFonts w:ascii="Arial" w:eastAsia="Arial" w:hAnsi="Arial" w:cs="Arial"/>
          <w:sz w:val="20"/>
          <w:szCs w:val="20"/>
        </w:rPr>
      </w:pPr>
    </w:p>
    <w:p w14:paraId="428A31B1" w14:textId="77777777" w:rsidR="00775354" w:rsidRDefault="00775354">
      <w:pPr>
        <w:jc w:val="both"/>
        <w:rPr>
          <w:rFonts w:ascii="Arial" w:eastAsia="Arial" w:hAnsi="Arial" w:cs="Arial"/>
          <w:sz w:val="20"/>
          <w:szCs w:val="20"/>
        </w:rPr>
      </w:pPr>
    </w:p>
    <w:p w14:paraId="4AA13708" w14:textId="77777777" w:rsidR="00775354" w:rsidRDefault="00610FF5">
      <w:pPr>
        <w:pStyle w:val="Ttulo2"/>
        <w:numPr>
          <w:ilvl w:val="1"/>
          <w:numId w:val="2"/>
        </w:numPr>
        <w:rPr>
          <w:rFonts w:ascii="Arial" w:eastAsia="Arial" w:hAnsi="Arial" w:cs="Arial"/>
          <w:sz w:val="20"/>
          <w:szCs w:val="20"/>
        </w:rPr>
      </w:pPr>
      <w:bookmarkStart w:id="11" w:name="_heading=h.3rdcrjn" w:colFirst="0" w:colLast="0"/>
      <w:bookmarkEnd w:id="11"/>
      <w:r>
        <w:rPr>
          <w:rFonts w:ascii="Arial" w:eastAsia="Arial" w:hAnsi="Arial" w:cs="Arial"/>
          <w:sz w:val="20"/>
          <w:szCs w:val="20"/>
        </w:rPr>
        <w:t xml:space="preserve">Indicadores con cumplimiento inferior al 55% </w:t>
      </w:r>
    </w:p>
    <w:p w14:paraId="25C8FEAE" w14:textId="77777777" w:rsidR="00775354" w:rsidRDefault="00775354">
      <w:pPr>
        <w:rPr>
          <w:rFonts w:ascii="Arial" w:eastAsia="Arial" w:hAnsi="Arial" w:cs="Arial"/>
          <w:sz w:val="20"/>
          <w:szCs w:val="20"/>
        </w:rPr>
      </w:pPr>
    </w:p>
    <w:p w14:paraId="2ADF2BB5" w14:textId="3C301AF9" w:rsidR="00775354" w:rsidRDefault="00610FF5">
      <w:pPr>
        <w:jc w:val="both"/>
        <w:rPr>
          <w:rFonts w:ascii="Arial" w:eastAsia="Arial" w:hAnsi="Arial" w:cs="Arial"/>
          <w:sz w:val="20"/>
          <w:szCs w:val="20"/>
        </w:rPr>
      </w:pPr>
      <w:r>
        <w:rPr>
          <w:rFonts w:ascii="Arial" w:eastAsia="Arial" w:hAnsi="Arial" w:cs="Arial"/>
          <w:sz w:val="20"/>
          <w:szCs w:val="20"/>
        </w:rPr>
        <w:t>En la evaluación de indicadores para el mes</w:t>
      </w:r>
      <w:r w:rsidR="003533FD">
        <w:rPr>
          <w:rFonts w:ascii="Arial" w:eastAsia="Arial" w:hAnsi="Arial" w:cs="Arial"/>
          <w:sz w:val="20"/>
          <w:szCs w:val="20"/>
        </w:rPr>
        <w:t xml:space="preserve"> de</w:t>
      </w:r>
      <w:r>
        <w:rPr>
          <w:rFonts w:ascii="Arial" w:eastAsia="Arial" w:hAnsi="Arial" w:cs="Arial"/>
          <w:sz w:val="20"/>
          <w:szCs w:val="20"/>
        </w:rPr>
        <w:t xml:space="preserve"> </w:t>
      </w:r>
      <w:r w:rsidR="003533FD">
        <w:rPr>
          <w:rFonts w:ascii="Arial" w:eastAsia="Arial" w:hAnsi="Arial" w:cs="Arial"/>
          <w:sz w:val="20"/>
          <w:szCs w:val="20"/>
        </w:rPr>
        <w:t>noviembre</w:t>
      </w:r>
      <w:r>
        <w:rPr>
          <w:rFonts w:ascii="Arial" w:eastAsia="Arial" w:hAnsi="Arial" w:cs="Arial"/>
          <w:sz w:val="20"/>
          <w:szCs w:val="20"/>
        </w:rPr>
        <w:t xml:space="preserve"> septiembre se identific</w:t>
      </w:r>
      <w:r w:rsidR="003533FD">
        <w:rPr>
          <w:rFonts w:ascii="Arial" w:eastAsia="Arial" w:hAnsi="Arial" w:cs="Arial"/>
          <w:sz w:val="20"/>
          <w:szCs w:val="20"/>
        </w:rPr>
        <w:t>ó</w:t>
      </w:r>
      <w:r>
        <w:rPr>
          <w:rFonts w:ascii="Arial" w:eastAsia="Arial" w:hAnsi="Arial" w:cs="Arial"/>
          <w:sz w:val="20"/>
          <w:szCs w:val="20"/>
        </w:rPr>
        <w:t xml:space="preserve"> </w:t>
      </w:r>
      <w:r w:rsidR="003533FD">
        <w:rPr>
          <w:rFonts w:ascii="Arial" w:eastAsia="Arial" w:hAnsi="Arial" w:cs="Arial"/>
          <w:sz w:val="20"/>
          <w:szCs w:val="20"/>
        </w:rPr>
        <w:t>1</w:t>
      </w:r>
      <w:r>
        <w:rPr>
          <w:rFonts w:ascii="Arial" w:eastAsia="Arial" w:hAnsi="Arial" w:cs="Arial"/>
          <w:sz w:val="20"/>
          <w:szCs w:val="20"/>
        </w:rPr>
        <w:t xml:space="preserve"> indicador con porcentajes de cumplimiento por debajo de 55%.</w:t>
      </w:r>
    </w:p>
    <w:tbl>
      <w:tblPr>
        <w:tblStyle w:val="a3"/>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43"/>
        <w:gridCol w:w="3827"/>
        <w:gridCol w:w="1276"/>
      </w:tblGrid>
      <w:tr w:rsidR="00775354" w14:paraId="402C2749" w14:textId="77777777">
        <w:tc>
          <w:tcPr>
            <w:tcW w:w="1980" w:type="dxa"/>
            <w:shd w:val="clear" w:color="auto" w:fill="DBDBDB"/>
            <w:vAlign w:val="center"/>
          </w:tcPr>
          <w:p w14:paraId="4E9C9811" w14:textId="77777777" w:rsidR="00775354" w:rsidRDefault="00610FF5">
            <w:pPr>
              <w:jc w:val="center"/>
              <w:rPr>
                <w:rFonts w:ascii="Arial" w:eastAsia="Arial" w:hAnsi="Arial" w:cs="Arial"/>
                <w:b/>
                <w:sz w:val="20"/>
                <w:szCs w:val="20"/>
              </w:rPr>
            </w:pPr>
            <w:r>
              <w:rPr>
                <w:rFonts w:ascii="Arial" w:eastAsia="Arial" w:hAnsi="Arial" w:cs="Arial"/>
                <w:b/>
                <w:sz w:val="20"/>
                <w:szCs w:val="20"/>
              </w:rPr>
              <w:t>PROCESO</w:t>
            </w:r>
          </w:p>
        </w:tc>
        <w:tc>
          <w:tcPr>
            <w:tcW w:w="1843" w:type="dxa"/>
            <w:shd w:val="clear" w:color="auto" w:fill="DBDBDB"/>
            <w:vAlign w:val="center"/>
          </w:tcPr>
          <w:p w14:paraId="6882B1CB" w14:textId="77777777" w:rsidR="00775354" w:rsidRDefault="00610FF5">
            <w:pPr>
              <w:jc w:val="center"/>
              <w:rPr>
                <w:rFonts w:ascii="Arial" w:eastAsia="Arial" w:hAnsi="Arial" w:cs="Arial"/>
                <w:b/>
                <w:sz w:val="20"/>
                <w:szCs w:val="20"/>
              </w:rPr>
            </w:pPr>
            <w:r>
              <w:rPr>
                <w:rFonts w:ascii="Arial" w:eastAsia="Arial" w:hAnsi="Arial" w:cs="Arial"/>
                <w:b/>
                <w:sz w:val="20"/>
                <w:szCs w:val="20"/>
              </w:rPr>
              <w:t>AREA</w:t>
            </w:r>
          </w:p>
        </w:tc>
        <w:tc>
          <w:tcPr>
            <w:tcW w:w="3827" w:type="dxa"/>
            <w:shd w:val="clear" w:color="auto" w:fill="DBDBDB"/>
            <w:vAlign w:val="center"/>
          </w:tcPr>
          <w:p w14:paraId="78EBAEFB" w14:textId="77777777" w:rsidR="00775354" w:rsidRDefault="00610FF5">
            <w:pPr>
              <w:jc w:val="center"/>
              <w:rPr>
                <w:rFonts w:ascii="Arial" w:eastAsia="Arial" w:hAnsi="Arial" w:cs="Arial"/>
                <w:b/>
                <w:sz w:val="20"/>
                <w:szCs w:val="20"/>
              </w:rPr>
            </w:pPr>
            <w:r>
              <w:rPr>
                <w:rFonts w:ascii="Arial" w:eastAsia="Arial" w:hAnsi="Arial" w:cs="Arial"/>
                <w:b/>
                <w:sz w:val="20"/>
                <w:szCs w:val="20"/>
              </w:rPr>
              <w:t>INDICADOR</w:t>
            </w:r>
          </w:p>
        </w:tc>
        <w:tc>
          <w:tcPr>
            <w:tcW w:w="1276" w:type="dxa"/>
            <w:shd w:val="clear" w:color="auto" w:fill="DBDBDB"/>
            <w:vAlign w:val="center"/>
          </w:tcPr>
          <w:p w14:paraId="04A4C527" w14:textId="77777777" w:rsidR="00775354" w:rsidRDefault="00610FF5">
            <w:pPr>
              <w:jc w:val="center"/>
              <w:rPr>
                <w:rFonts w:ascii="Arial" w:eastAsia="Arial" w:hAnsi="Arial" w:cs="Arial"/>
                <w:b/>
                <w:sz w:val="20"/>
                <w:szCs w:val="20"/>
              </w:rPr>
            </w:pPr>
            <w:r>
              <w:rPr>
                <w:rFonts w:ascii="Arial" w:eastAsia="Arial" w:hAnsi="Arial" w:cs="Arial"/>
                <w:b/>
                <w:sz w:val="20"/>
                <w:szCs w:val="20"/>
              </w:rPr>
              <w:t>% DE AVANCE MENSUAL</w:t>
            </w:r>
          </w:p>
        </w:tc>
      </w:tr>
      <w:tr w:rsidR="00775354" w14:paraId="1F612C5E" w14:textId="77777777">
        <w:tc>
          <w:tcPr>
            <w:tcW w:w="1980" w:type="dxa"/>
            <w:shd w:val="clear" w:color="auto" w:fill="auto"/>
            <w:vAlign w:val="center"/>
          </w:tcPr>
          <w:p w14:paraId="78EBE53F" w14:textId="77777777" w:rsidR="00775354" w:rsidRDefault="00610FF5">
            <w:pPr>
              <w:jc w:val="center"/>
              <w:rPr>
                <w:rFonts w:ascii="Arial" w:eastAsia="Arial" w:hAnsi="Arial" w:cs="Arial"/>
                <w:color w:val="000000"/>
                <w:sz w:val="20"/>
                <w:szCs w:val="20"/>
              </w:rPr>
            </w:pPr>
            <w:r>
              <w:rPr>
                <w:rFonts w:ascii="Arial" w:eastAsia="Arial" w:hAnsi="Arial" w:cs="Arial"/>
                <w:color w:val="000000"/>
                <w:sz w:val="20"/>
                <w:szCs w:val="20"/>
              </w:rPr>
              <w:t>Gestión Tecnológica</w:t>
            </w:r>
          </w:p>
        </w:tc>
        <w:tc>
          <w:tcPr>
            <w:tcW w:w="1843" w:type="dxa"/>
            <w:shd w:val="clear" w:color="auto" w:fill="auto"/>
            <w:vAlign w:val="center"/>
          </w:tcPr>
          <w:p w14:paraId="0CC697E7"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Dirección de Planeación y Sistemas de Información Ambiental</w:t>
            </w:r>
          </w:p>
        </w:tc>
        <w:tc>
          <w:tcPr>
            <w:tcW w:w="3827" w:type="dxa"/>
            <w:shd w:val="clear" w:color="auto" w:fill="auto"/>
            <w:vAlign w:val="center"/>
          </w:tcPr>
          <w:p w14:paraId="39BE2FB1" w14:textId="77777777" w:rsidR="00775354" w:rsidRDefault="00610FF5">
            <w:pPr>
              <w:jc w:val="both"/>
              <w:rPr>
                <w:rFonts w:ascii="Arial" w:eastAsia="Arial" w:hAnsi="Arial" w:cs="Arial"/>
                <w:color w:val="000000"/>
                <w:sz w:val="20"/>
                <w:szCs w:val="20"/>
              </w:rPr>
            </w:pPr>
            <w:r>
              <w:rPr>
                <w:rFonts w:ascii="Arial" w:eastAsia="Arial" w:hAnsi="Arial" w:cs="Arial"/>
                <w:color w:val="000000"/>
                <w:sz w:val="20"/>
                <w:szCs w:val="20"/>
              </w:rPr>
              <w:t>Índice de capacidad en la prestación de servicios de tecnología</w:t>
            </w:r>
          </w:p>
        </w:tc>
        <w:tc>
          <w:tcPr>
            <w:tcW w:w="1276" w:type="dxa"/>
            <w:shd w:val="clear" w:color="auto" w:fill="FF0000"/>
            <w:vAlign w:val="center"/>
          </w:tcPr>
          <w:p w14:paraId="50386AAC" w14:textId="77777777" w:rsidR="00775354" w:rsidRDefault="00610FF5">
            <w:pPr>
              <w:jc w:val="center"/>
              <w:rPr>
                <w:rFonts w:ascii="Arial" w:eastAsia="Arial" w:hAnsi="Arial" w:cs="Arial"/>
                <w:b/>
                <w:color w:val="000000"/>
                <w:sz w:val="20"/>
                <w:szCs w:val="20"/>
              </w:rPr>
            </w:pPr>
            <w:r>
              <w:rPr>
                <w:rFonts w:ascii="Arial" w:eastAsia="Arial" w:hAnsi="Arial" w:cs="Arial"/>
                <w:b/>
                <w:color w:val="000000"/>
                <w:sz w:val="20"/>
                <w:szCs w:val="20"/>
              </w:rPr>
              <w:t>33</w:t>
            </w:r>
          </w:p>
        </w:tc>
      </w:tr>
    </w:tbl>
    <w:p w14:paraId="6DEFCA7E" w14:textId="77777777" w:rsidR="00775354" w:rsidRDefault="00775354">
      <w:pPr>
        <w:rPr>
          <w:rFonts w:ascii="Arial" w:eastAsia="Arial" w:hAnsi="Arial" w:cs="Arial"/>
          <w:sz w:val="20"/>
          <w:szCs w:val="20"/>
        </w:rPr>
      </w:pPr>
    </w:p>
    <w:p w14:paraId="0825E190" w14:textId="77777777" w:rsidR="00093154" w:rsidRPr="00093154" w:rsidRDefault="00093154" w:rsidP="00093154">
      <w:pPr>
        <w:jc w:val="both"/>
        <w:rPr>
          <w:rFonts w:ascii="Arial" w:eastAsia="Arial" w:hAnsi="Arial" w:cs="Arial"/>
          <w:sz w:val="20"/>
          <w:szCs w:val="20"/>
        </w:rPr>
      </w:pPr>
      <w:r w:rsidRPr="00093154">
        <w:rPr>
          <w:rFonts w:ascii="Arial" w:eastAsia="Arial" w:hAnsi="Arial" w:cs="Arial"/>
          <w:sz w:val="20"/>
          <w:szCs w:val="20"/>
        </w:rPr>
        <w:t>e mantuvo la Continuidad y disponibilidad de los Servicios tecnológicos según Lineamiento ST.05, para lo cual se generó el reporte de la disponibilidad de los servicios de TI, de los servicios de red, y el reporte de disponibilidad de los servicios de la plataforma de virtualización obteniendo un 99,99% de la disponibilidad total de los servicios.</w:t>
      </w:r>
    </w:p>
    <w:p w14:paraId="304AFBB9" w14:textId="77777777" w:rsidR="00093154" w:rsidRPr="00093154" w:rsidRDefault="00093154" w:rsidP="00093154">
      <w:pPr>
        <w:jc w:val="both"/>
        <w:rPr>
          <w:rFonts w:ascii="Arial" w:eastAsia="Arial" w:hAnsi="Arial" w:cs="Arial"/>
          <w:sz w:val="20"/>
          <w:szCs w:val="20"/>
        </w:rPr>
      </w:pPr>
      <w:r w:rsidRPr="00093154">
        <w:rPr>
          <w:rFonts w:ascii="Arial" w:eastAsia="Arial" w:hAnsi="Arial" w:cs="Arial"/>
          <w:sz w:val="20"/>
          <w:szCs w:val="20"/>
        </w:rPr>
        <w:lastRenderedPageBreak/>
        <w:t xml:space="preserve"> Se realizó la adición del contrato No 20191396 DE 2019, para mantener los servicios de soporte de la wifi.</w:t>
      </w:r>
    </w:p>
    <w:p w14:paraId="47A7BAB4" w14:textId="77777777" w:rsidR="00093154" w:rsidRPr="00093154" w:rsidRDefault="00093154" w:rsidP="00093154">
      <w:pPr>
        <w:jc w:val="both"/>
        <w:rPr>
          <w:rFonts w:ascii="Arial" w:eastAsia="Arial" w:hAnsi="Arial" w:cs="Arial"/>
          <w:sz w:val="20"/>
          <w:szCs w:val="20"/>
        </w:rPr>
      </w:pPr>
      <w:r w:rsidRPr="00093154">
        <w:rPr>
          <w:rFonts w:ascii="Arial" w:eastAsia="Arial" w:hAnsi="Arial" w:cs="Arial"/>
          <w:sz w:val="20"/>
          <w:szCs w:val="20"/>
        </w:rPr>
        <w:t xml:space="preserve"> Se adicionó la orden de compra No 49423 de2020 de correos electrónicos con el fin de poder brindar un mayor número de licencias de correos a los contratistas nuevo.</w:t>
      </w:r>
    </w:p>
    <w:p w14:paraId="08B264B5" w14:textId="77777777" w:rsidR="00093154" w:rsidRPr="00093154" w:rsidRDefault="00093154" w:rsidP="00093154">
      <w:pPr>
        <w:jc w:val="both"/>
        <w:rPr>
          <w:rFonts w:ascii="Arial" w:eastAsia="Arial" w:hAnsi="Arial" w:cs="Arial"/>
          <w:sz w:val="20"/>
          <w:szCs w:val="20"/>
        </w:rPr>
      </w:pPr>
      <w:r w:rsidRPr="00093154">
        <w:rPr>
          <w:rFonts w:ascii="Arial" w:eastAsia="Arial" w:hAnsi="Arial" w:cs="Arial"/>
          <w:sz w:val="20"/>
          <w:szCs w:val="20"/>
        </w:rPr>
        <w:t xml:space="preserve"> Se avanzó en el proceso SDA-SASI-05-2020, para adquisición de almacenamiento, para fortalecer la Infraestructura en temas de almacenamiento para la sede principal de la SDA.</w:t>
      </w:r>
    </w:p>
    <w:p w14:paraId="305CEBBA" w14:textId="3ECE3B03" w:rsidR="00775354" w:rsidRDefault="00775354">
      <w:pPr>
        <w:jc w:val="both"/>
        <w:rPr>
          <w:rFonts w:ascii="Arial" w:eastAsia="Arial" w:hAnsi="Arial" w:cs="Arial"/>
          <w:sz w:val="20"/>
          <w:szCs w:val="20"/>
        </w:rPr>
      </w:pPr>
    </w:p>
    <w:p w14:paraId="08BAB1F8" w14:textId="7D4A1C54" w:rsidR="00093154" w:rsidRDefault="00093154">
      <w:pPr>
        <w:jc w:val="both"/>
        <w:rPr>
          <w:rFonts w:ascii="Arial" w:eastAsia="Arial" w:hAnsi="Arial" w:cs="Arial"/>
          <w:sz w:val="20"/>
          <w:szCs w:val="20"/>
        </w:rPr>
      </w:pPr>
    </w:p>
    <w:p w14:paraId="1F2DCD49" w14:textId="66D05048" w:rsidR="00093154" w:rsidRDefault="00093154">
      <w:pPr>
        <w:jc w:val="both"/>
        <w:rPr>
          <w:rFonts w:ascii="Arial" w:eastAsia="Arial" w:hAnsi="Arial" w:cs="Arial"/>
          <w:sz w:val="20"/>
          <w:szCs w:val="20"/>
        </w:rPr>
      </w:pPr>
    </w:p>
    <w:p w14:paraId="359499ED" w14:textId="2A1D7567" w:rsidR="00093154" w:rsidRDefault="00093154">
      <w:pPr>
        <w:jc w:val="both"/>
        <w:rPr>
          <w:rFonts w:ascii="Arial" w:eastAsia="Arial" w:hAnsi="Arial" w:cs="Arial"/>
          <w:sz w:val="20"/>
          <w:szCs w:val="20"/>
        </w:rPr>
      </w:pPr>
    </w:p>
    <w:p w14:paraId="179EEDF3" w14:textId="2EA5F665" w:rsidR="00093154" w:rsidRDefault="00093154">
      <w:pPr>
        <w:jc w:val="both"/>
        <w:rPr>
          <w:rFonts w:ascii="Arial" w:eastAsia="Arial" w:hAnsi="Arial" w:cs="Arial"/>
          <w:sz w:val="20"/>
          <w:szCs w:val="20"/>
        </w:rPr>
      </w:pPr>
      <w:r>
        <w:rPr>
          <w:noProof/>
        </w:rPr>
        <w:drawing>
          <wp:anchor distT="0" distB="0" distL="114300" distR="114300" simplePos="0" relativeHeight="251672576" behindDoc="0" locked="0" layoutInCell="1" allowOverlap="1" wp14:anchorId="6B015555" wp14:editId="2FEA4FAB">
            <wp:simplePos x="0" y="0"/>
            <wp:positionH relativeFrom="margin">
              <wp:align>center</wp:align>
            </wp:positionH>
            <wp:positionV relativeFrom="paragraph">
              <wp:posOffset>165735</wp:posOffset>
            </wp:positionV>
            <wp:extent cx="5902960" cy="3323590"/>
            <wp:effectExtent l="0" t="0" r="254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6450" t="21735" r="26341" b="10947"/>
                    <a:stretch/>
                  </pic:blipFill>
                  <pic:spPr bwMode="auto">
                    <a:xfrm>
                      <a:off x="0" y="0"/>
                      <a:ext cx="5902960" cy="3323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8661FD" w14:textId="53F7AA96" w:rsidR="00093154" w:rsidRDefault="00093154">
      <w:pPr>
        <w:jc w:val="both"/>
        <w:rPr>
          <w:rFonts w:ascii="Arial" w:eastAsia="Arial" w:hAnsi="Arial" w:cs="Arial"/>
          <w:sz w:val="20"/>
          <w:szCs w:val="20"/>
        </w:rPr>
      </w:pPr>
    </w:p>
    <w:p w14:paraId="0B400BB7" w14:textId="19084B3B" w:rsidR="00093154" w:rsidRDefault="00093154">
      <w:pPr>
        <w:jc w:val="both"/>
        <w:rPr>
          <w:rFonts w:ascii="Arial" w:eastAsia="Arial" w:hAnsi="Arial" w:cs="Arial"/>
          <w:sz w:val="20"/>
          <w:szCs w:val="20"/>
        </w:rPr>
      </w:pPr>
    </w:p>
    <w:p w14:paraId="410B4010" w14:textId="2017084B" w:rsidR="00093154" w:rsidRDefault="00093154">
      <w:pPr>
        <w:jc w:val="both"/>
        <w:rPr>
          <w:rFonts w:ascii="Arial" w:eastAsia="Arial" w:hAnsi="Arial" w:cs="Arial"/>
          <w:sz w:val="20"/>
          <w:szCs w:val="20"/>
        </w:rPr>
      </w:pPr>
    </w:p>
    <w:p w14:paraId="5241A54C" w14:textId="3B6F386A" w:rsidR="00093154" w:rsidRDefault="00093154">
      <w:pPr>
        <w:jc w:val="both"/>
        <w:rPr>
          <w:rFonts w:ascii="Arial" w:eastAsia="Arial" w:hAnsi="Arial" w:cs="Arial"/>
          <w:sz w:val="20"/>
          <w:szCs w:val="20"/>
        </w:rPr>
      </w:pPr>
    </w:p>
    <w:p w14:paraId="34D41240" w14:textId="46CCEFA0" w:rsidR="00093154" w:rsidRDefault="00093154">
      <w:pPr>
        <w:jc w:val="both"/>
        <w:rPr>
          <w:rFonts w:ascii="Arial" w:eastAsia="Arial" w:hAnsi="Arial" w:cs="Arial"/>
          <w:sz w:val="20"/>
          <w:szCs w:val="20"/>
        </w:rPr>
      </w:pPr>
    </w:p>
    <w:p w14:paraId="3F11A6D1" w14:textId="233963AA" w:rsidR="00093154" w:rsidRDefault="00093154">
      <w:pPr>
        <w:jc w:val="both"/>
        <w:rPr>
          <w:rFonts w:ascii="Arial" w:eastAsia="Arial" w:hAnsi="Arial" w:cs="Arial"/>
          <w:sz w:val="20"/>
          <w:szCs w:val="20"/>
        </w:rPr>
      </w:pPr>
    </w:p>
    <w:p w14:paraId="6BB12C06" w14:textId="06F2D606" w:rsidR="00093154" w:rsidRDefault="00093154">
      <w:pPr>
        <w:jc w:val="both"/>
        <w:rPr>
          <w:rFonts w:ascii="Arial" w:eastAsia="Arial" w:hAnsi="Arial" w:cs="Arial"/>
          <w:sz w:val="20"/>
          <w:szCs w:val="20"/>
        </w:rPr>
      </w:pPr>
    </w:p>
    <w:p w14:paraId="2D0950C3" w14:textId="596C259A" w:rsidR="00093154" w:rsidRDefault="00093154">
      <w:pPr>
        <w:jc w:val="both"/>
        <w:rPr>
          <w:rFonts w:ascii="Arial" w:eastAsia="Arial" w:hAnsi="Arial" w:cs="Arial"/>
          <w:sz w:val="20"/>
          <w:szCs w:val="20"/>
        </w:rPr>
      </w:pPr>
    </w:p>
    <w:p w14:paraId="24EB59D7" w14:textId="73E25F39" w:rsidR="00093154" w:rsidRDefault="00093154">
      <w:pPr>
        <w:jc w:val="both"/>
        <w:rPr>
          <w:rFonts w:ascii="Arial" w:eastAsia="Arial" w:hAnsi="Arial" w:cs="Arial"/>
          <w:sz w:val="20"/>
          <w:szCs w:val="20"/>
        </w:rPr>
      </w:pPr>
    </w:p>
    <w:p w14:paraId="4E6C10E8" w14:textId="22D17038" w:rsidR="00093154" w:rsidRDefault="00093154">
      <w:pPr>
        <w:jc w:val="both"/>
        <w:rPr>
          <w:rFonts w:ascii="Arial" w:eastAsia="Arial" w:hAnsi="Arial" w:cs="Arial"/>
          <w:sz w:val="20"/>
          <w:szCs w:val="20"/>
        </w:rPr>
      </w:pPr>
    </w:p>
    <w:p w14:paraId="57CAE950" w14:textId="1E657B28" w:rsidR="00093154" w:rsidRDefault="00093154">
      <w:pPr>
        <w:jc w:val="both"/>
        <w:rPr>
          <w:rFonts w:ascii="Arial" w:eastAsia="Arial" w:hAnsi="Arial" w:cs="Arial"/>
          <w:sz w:val="20"/>
          <w:szCs w:val="20"/>
        </w:rPr>
      </w:pPr>
    </w:p>
    <w:p w14:paraId="36325FE2" w14:textId="45953D57" w:rsidR="00093154" w:rsidRDefault="00093154">
      <w:pPr>
        <w:jc w:val="both"/>
        <w:rPr>
          <w:rFonts w:ascii="Arial" w:eastAsia="Arial" w:hAnsi="Arial" w:cs="Arial"/>
          <w:sz w:val="20"/>
          <w:szCs w:val="20"/>
        </w:rPr>
      </w:pPr>
    </w:p>
    <w:p w14:paraId="095EFD16" w14:textId="77777777" w:rsidR="00093154" w:rsidRDefault="00093154">
      <w:pPr>
        <w:jc w:val="both"/>
        <w:rPr>
          <w:rFonts w:ascii="Arial" w:eastAsia="Arial" w:hAnsi="Arial" w:cs="Arial"/>
          <w:sz w:val="20"/>
          <w:szCs w:val="20"/>
        </w:rPr>
      </w:pPr>
    </w:p>
    <w:p w14:paraId="77CC0B98" w14:textId="77777777" w:rsidR="00775354" w:rsidRDefault="00775354">
      <w:pPr>
        <w:jc w:val="both"/>
        <w:rPr>
          <w:rFonts w:ascii="Arial" w:eastAsia="Arial" w:hAnsi="Arial" w:cs="Arial"/>
          <w:sz w:val="20"/>
          <w:szCs w:val="20"/>
        </w:rPr>
      </w:pPr>
    </w:p>
    <w:p w14:paraId="69E5BBEE" w14:textId="77777777" w:rsidR="00775354" w:rsidRDefault="00775354">
      <w:pPr>
        <w:jc w:val="both"/>
        <w:rPr>
          <w:rFonts w:ascii="Arial" w:eastAsia="Arial" w:hAnsi="Arial" w:cs="Arial"/>
          <w:sz w:val="20"/>
          <w:szCs w:val="20"/>
        </w:rPr>
      </w:pPr>
    </w:p>
    <w:p w14:paraId="2D678117" w14:textId="03DD8D6D" w:rsidR="00775354" w:rsidRDefault="00775354">
      <w:pPr>
        <w:jc w:val="both"/>
        <w:rPr>
          <w:rFonts w:ascii="Arial" w:eastAsia="Arial" w:hAnsi="Arial" w:cs="Arial"/>
          <w:sz w:val="20"/>
          <w:szCs w:val="20"/>
        </w:rPr>
      </w:pPr>
    </w:p>
    <w:p w14:paraId="76D00AD8" w14:textId="77777777" w:rsidR="00775354" w:rsidRDefault="00775354">
      <w:pPr>
        <w:jc w:val="both"/>
        <w:rPr>
          <w:rFonts w:ascii="Arial" w:eastAsia="Arial" w:hAnsi="Arial" w:cs="Arial"/>
          <w:sz w:val="20"/>
          <w:szCs w:val="20"/>
        </w:rPr>
      </w:pPr>
    </w:p>
    <w:p w14:paraId="263D0937" w14:textId="2CBDD7A5" w:rsidR="00775354" w:rsidRDefault="00775354">
      <w:pPr>
        <w:jc w:val="both"/>
        <w:rPr>
          <w:rFonts w:ascii="Arial" w:eastAsia="Arial" w:hAnsi="Arial" w:cs="Arial"/>
          <w:sz w:val="20"/>
          <w:szCs w:val="20"/>
        </w:rPr>
      </w:pPr>
    </w:p>
    <w:p w14:paraId="0E97497E" w14:textId="77777777" w:rsidR="00775354" w:rsidRDefault="00775354">
      <w:pPr>
        <w:jc w:val="both"/>
        <w:rPr>
          <w:rFonts w:ascii="Arial" w:eastAsia="Arial" w:hAnsi="Arial" w:cs="Arial"/>
          <w:sz w:val="20"/>
          <w:szCs w:val="20"/>
        </w:rPr>
      </w:pPr>
    </w:p>
    <w:p w14:paraId="5CEB1753" w14:textId="77777777" w:rsidR="00775354" w:rsidRDefault="00775354">
      <w:pPr>
        <w:jc w:val="both"/>
        <w:rPr>
          <w:rFonts w:ascii="Arial" w:eastAsia="Arial" w:hAnsi="Arial" w:cs="Arial"/>
          <w:sz w:val="20"/>
          <w:szCs w:val="20"/>
        </w:rPr>
      </w:pPr>
    </w:p>
    <w:p w14:paraId="41EABFF7" w14:textId="77777777" w:rsidR="00775354" w:rsidRDefault="00775354">
      <w:pPr>
        <w:jc w:val="both"/>
        <w:rPr>
          <w:rFonts w:ascii="Arial" w:eastAsia="Arial" w:hAnsi="Arial" w:cs="Arial"/>
          <w:sz w:val="20"/>
          <w:szCs w:val="20"/>
        </w:rPr>
      </w:pPr>
    </w:p>
    <w:p w14:paraId="65D34763" w14:textId="0B71238C" w:rsidR="00775354" w:rsidRDefault="00775354">
      <w:pPr>
        <w:jc w:val="both"/>
        <w:rPr>
          <w:rFonts w:ascii="Arial" w:eastAsia="Arial" w:hAnsi="Arial" w:cs="Arial"/>
          <w:sz w:val="20"/>
          <w:szCs w:val="20"/>
        </w:rPr>
      </w:pPr>
    </w:p>
    <w:p w14:paraId="16BC0A9F" w14:textId="0818C351" w:rsidR="00775354" w:rsidRDefault="00610FF5">
      <w:pPr>
        <w:pStyle w:val="Ttulo1"/>
        <w:numPr>
          <w:ilvl w:val="0"/>
          <w:numId w:val="2"/>
        </w:numPr>
        <w:jc w:val="both"/>
        <w:rPr>
          <w:rFonts w:ascii="Arial" w:eastAsia="Arial" w:hAnsi="Arial" w:cs="Arial"/>
          <w:sz w:val="20"/>
          <w:szCs w:val="20"/>
        </w:rPr>
      </w:pPr>
      <w:r>
        <w:rPr>
          <w:rFonts w:ascii="Arial" w:eastAsia="Arial" w:hAnsi="Arial" w:cs="Arial"/>
          <w:sz w:val="20"/>
          <w:szCs w:val="20"/>
        </w:rPr>
        <w:lastRenderedPageBreak/>
        <w:t xml:space="preserve">RECOMENDACIONES </w:t>
      </w:r>
    </w:p>
    <w:p w14:paraId="46F0299D" w14:textId="77777777" w:rsidR="00775354" w:rsidRDefault="00775354">
      <w:pPr>
        <w:rPr>
          <w:rFonts w:ascii="Arial" w:eastAsia="Arial" w:hAnsi="Arial" w:cs="Arial"/>
          <w:sz w:val="20"/>
          <w:szCs w:val="20"/>
        </w:rPr>
      </w:pPr>
    </w:p>
    <w:p w14:paraId="6B5D0FCF" w14:textId="77777777" w:rsidR="001C1191" w:rsidRDefault="001C1191" w:rsidP="001C1191">
      <w:pPr>
        <w:numPr>
          <w:ilvl w:val="0"/>
          <w:numId w:val="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En los análisis de los resultados obtenidos en los indicadores es importante determinar las causas que llevaron a incumplimientos de las metas o al sobre cumplimiento de las mismas con el fin de tener definido cuál es el posible plan de acción a implementar para la mejora de los próximos reportes.</w:t>
      </w:r>
    </w:p>
    <w:p w14:paraId="0181CB33" w14:textId="77777777" w:rsidR="001C1191" w:rsidRDefault="001C1191" w:rsidP="001C1191">
      <w:pPr>
        <w:pBdr>
          <w:top w:val="nil"/>
          <w:left w:val="nil"/>
          <w:bottom w:val="nil"/>
          <w:right w:val="nil"/>
          <w:between w:val="nil"/>
        </w:pBdr>
        <w:spacing w:after="0"/>
        <w:ind w:left="720"/>
        <w:jc w:val="both"/>
        <w:rPr>
          <w:rFonts w:ascii="Arial" w:eastAsia="Arial" w:hAnsi="Arial" w:cs="Arial"/>
          <w:color w:val="000000"/>
          <w:sz w:val="20"/>
          <w:szCs w:val="20"/>
        </w:rPr>
      </w:pPr>
    </w:p>
    <w:p w14:paraId="06793A30" w14:textId="6D62C739" w:rsidR="00775354" w:rsidRDefault="00610FF5">
      <w:pPr>
        <w:numPr>
          <w:ilvl w:val="0"/>
          <w:numId w:val="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El cargue oportuno de la información de los indicadores dentro de los tiempos establecidos permite garantizar la generación de las diferentes fuentes de información necesarias para el seguimiento de las actividades y la toma de decisiones en pro de la mejora continua.</w:t>
      </w:r>
    </w:p>
    <w:p w14:paraId="4A41B96B" w14:textId="7A21ABE2" w:rsidR="00775354" w:rsidRDefault="00775354" w:rsidP="001C1191">
      <w:pPr>
        <w:pBdr>
          <w:top w:val="nil"/>
          <w:left w:val="nil"/>
          <w:bottom w:val="nil"/>
          <w:right w:val="nil"/>
          <w:between w:val="nil"/>
        </w:pBdr>
        <w:spacing w:after="0"/>
        <w:rPr>
          <w:rFonts w:ascii="Arial" w:eastAsia="Arial" w:hAnsi="Arial" w:cs="Arial"/>
          <w:color w:val="000000"/>
          <w:sz w:val="20"/>
          <w:szCs w:val="20"/>
        </w:rPr>
      </w:pPr>
    </w:p>
    <w:p w14:paraId="56731CE1" w14:textId="2276172A" w:rsidR="00775354" w:rsidRDefault="00610FF5">
      <w:pPr>
        <w:numPr>
          <w:ilvl w:val="0"/>
          <w:numId w:val="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En los análisis definidos se recomienda definir cuándo se presentan novedades externas que afectaron el cumplimiento de la meta o llevaron a un sobre cumplimiento, adicional aclarar si puede ser una constante que puede afectar los siguientes meses de reporte o es exclusiva para el periodo evaluado.</w:t>
      </w:r>
    </w:p>
    <w:p w14:paraId="1927C9DE" w14:textId="2789091D" w:rsidR="00775354" w:rsidRDefault="00775354">
      <w:pPr>
        <w:pBdr>
          <w:top w:val="nil"/>
          <w:left w:val="nil"/>
          <w:bottom w:val="nil"/>
          <w:right w:val="nil"/>
          <w:between w:val="nil"/>
        </w:pBdr>
        <w:spacing w:after="0"/>
        <w:ind w:left="720"/>
        <w:rPr>
          <w:rFonts w:ascii="Arial" w:eastAsia="Arial" w:hAnsi="Arial" w:cs="Arial"/>
          <w:color w:val="000000"/>
          <w:sz w:val="20"/>
          <w:szCs w:val="20"/>
        </w:rPr>
      </w:pPr>
    </w:p>
    <w:p w14:paraId="2678133B" w14:textId="7CCBB655" w:rsidR="00775354" w:rsidRDefault="00610FF5">
      <w:pPr>
        <w:numPr>
          <w:ilvl w:val="0"/>
          <w:numId w:val="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reprogramaciones que se requieran de los indicadores deben hacerse para los periodos que no se han reportado, con el fin de garantizar la oportunidad de la información y trazabilidad de la misma.</w:t>
      </w:r>
    </w:p>
    <w:p w14:paraId="67868025" w14:textId="0D3FDD07" w:rsidR="00775354" w:rsidRDefault="00775354">
      <w:pPr>
        <w:jc w:val="both"/>
        <w:rPr>
          <w:rFonts w:ascii="Arial" w:eastAsia="Arial" w:hAnsi="Arial" w:cs="Arial"/>
          <w:sz w:val="20"/>
          <w:szCs w:val="20"/>
        </w:rPr>
      </w:pPr>
    </w:p>
    <w:p w14:paraId="2DEEF0BF" w14:textId="67D11B3E" w:rsidR="00775354" w:rsidRDefault="00775354">
      <w:pPr>
        <w:jc w:val="both"/>
        <w:rPr>
          <w:rFonts w:ascii="Arial" w:eastAsia="Arial" w:hAnsi="Arial" w:cs="Arial"/>
          <w:sz w:val="20"/>
          <w:szCs w:val="20"/>
        </w:rPr>
      </w:pPr>
    </w:p>
    <w:p w14:paraId="4296990B" w14:textId="56F4EA8A" w:rsidR="00775354" w:rsidRDefault="00775354">
      <w:pPr>
        <w:jc w:val="both"/>
        <w:rPr>
          <w:rFonts w:ascii="Arial" w:eastAsia="Arial" w:hAnsi="Arial" w:cs="Arial"/>
          <w:sz w:val="20"/>
          <w:szCs w:val="20"/>
        </w:rPr>
      </w:pPr>
    </w:p>
    <w:p w14:paraId="267A03AE" w14:textId="3909BEFC" w:rsidR="00775354" w:rsidRDefault="00093154">
      <w:pPr>
        <w:jc w:val="both"/>
        <w:rPr>
          <w:rFonts w:ascii="Arial" w:eastAsia="Arial" w:hAnsi="Arial" w:cs="Arial"/>
          <w:sz w:val="20"/>
          <w:szCs w:val="20"/>
        </w:rPr>
      </w:pPr>
      <w:r>
        <w:rPr>
          <w:noProof/>
        </w:rPr>
        <w:drawing>
          <wp:anchor distT="0" distB="0" distL="114300" distR="114300" simplePos="0" relativeHeight="251671552" behindDoc="0" locked="0" layoutInCell="1" hidden="0" allowOverlap="1" wp14:anchorId="064894C9" wp14:editId="45F0AB1A">
            <wp:simplePos x="0" y="0"/>
            <wp:positionH relativeFrom="margin">
              <wp:align>right</wp:align>
            </wp:positionH>
            <wp:positionV relativeFrom="paragraph">
              <wp:posOffset>100965</wp:posOffset>
            </wp:positionV>
            <wp:extent cx="5612130" cy="3255010"/>
            <wp:effectExtent l="0" t="0" r="7620" b="2540"/>
            <wp:wrapNone/>
            <wp:docPr id="51" name="image4.jpg" descr="Imagen que contiene naturaleza, exterior, roca, agu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jpg" descr="Imagen que contiene naturaleza, exterior, roca, agua&#10;&#10;Descripción generada automáticamente"/>
                    <pic:cNvPicPr preferRelativeResize="0"/>
                  </pic:nvPicPr>
                  <pic:blipFill>
                    <a:blip r:embed="rId21"/>
                    <a:srcRect/>
                    <a:stretch>
                      <a:fillRect/>
                    </a:stretch>
                  </pic:blipFill>
                  <pic:spPr>
                    <a:xfrm>
                      <a:off x="0" y="0"/>
                      <a:ext cx="5612130" cy="3255010"/>
                    </a:xfrm>
                    <a:prstGeom prst="rect">
                      <a:avLst/>
                    </a:prstGeom>
                    <a:ln/>
                  </pic:spPr>
                </pic:pic>
              </a:graphicData>
            </a:graphic>
          </wp:anchor>
        </w:drawing>
      </w:r>
    </w:p>
    <w:p w14:paraId="31EBE508" w14:textId="77777777" w:rsidR="00775354" w:rsidRDefault="00775354">
      <w:pPr>
        <w:jc w:val="both"/>
        <w:rPr>
          <w:rFonts w:ascii="Arial" w:eastAsia="Arial" w:hAnsi="Arial" w:cs="Arial"/>
          <w:sz w:val="20"/>
          <w:szCs w:val="20"/>
        </w:rPr>
      </w:pPr>
    </w:p>
    <w:p w14:paraId="41BE2DF0" w14:textId="77777777" w:rsidR="00775354" w:rsidRDefault="00775354">
      <w:pPr>
        <w:jc w:val="both"/>
        <w:rPr>
          <w:rFonts w:ascii="Arial" w:eastAsia="Arial" w:hAnsi="Arial" w:cs="Arial"/>
          <w:sz w:val="20"/>
          <w:szCs w:val="20"/>
        </w:rPr>
      </w:pPr>
    </w:p>
    <w:p w14:paraId="37F51559" w14:textId="77777777" w:rsidR="00775354" w:rsidRDefault="00610FF5">
      <w:pPr>
        <w:jc w:val="both"/>
        <w:rPr>
          <w:rFonts w:ascii="Arial" w:eastAsia="Arial" w:hAnsi="Arial" w:cs="Arial"/>
          <w:sz w:val="20"/>
          <w:szCs w:val="20"/>
        </w:rPr>
      </w:pPr>
      <w:r>
        <w:rPr>
          <w:rFonts w:ascii="Arial" w:eastAsia="Arial" w:hAnsi="Arial" w:cs="Arial"/>
          <w:sz w:val="20"/>
          <w:szCs w:val="20"/>
        </w:rPr>
        <w:t xml:space="preserve"> </w:t>
      </w:r>
    </w:p>
    <w:sectPr w:rsidR="00775354">
      <w:footerReference w:type="default" r:id="rId22"/>
      <w:pgSz w:w="12240" w:h="15840"/>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501A5" w14:textId="77777777" w:rsidR="00B421D5" w:rsidRDefault="00B421D5">
      <w:pPr>
        <w:spacing w:after="0" w:line="240" w:lineRule="auto"/>
      </w:pPr>
      <w:r>
        <w:separator/>
      </w:r>
    </w:p>
  </w:endnote>
  <w:endnote w:type="continuationSeparator" w:id="0">
    <w:p w14:paraId="384C430D" w14:textId="77777777" w:rsidR="00B421D5" w:rsidRDefault="00B4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venir">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FE649" w14:textId="77777777" w:rsidR="00775354" w:rsidRDefault="00610FF5">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g">
          <w:drawing>
            <wp:anchor distT="0" distB="0" distL="0" distR="0" simplePos="0" relativeHeight="251658240" behindDoc="0" locked="0" layoutInCell="1" hidden="0" allowOverlap="1" wp14:anchorId="14EF319A" wp14:editId="374EA7FA">
              <wp:simplePos x="0" y="0"/>
              <wp:positionH relativeFrom="column">
                <wp:posOffset>0</wp:posOffset>
              </wp:positionH>
              <wp:positionV relativeFrom="paragraph">
                <wp:posOffset>9321800</wp:posOffset>
              </wp:positionV>
              <wp:extent cx="466725" cy="329565"/>
              <wp:effectExtent l="0" t="0" r="0" b="0"/>
              <wp:wrapSquare wrapText="bothSides" distT="0" distB="0" distL="0" distR="0"/>
              <wp:docPr id="41" name="Rectángulo 41"/>
              <wp:cNvGraphicFramePr/>
              <a:graphic xmlns:a="http://schemas.openxmlformats.org/drawingml/2006/main">
                <a:graphicData uri="http://schemas.microsoft.com/office/word/2010/wordprocessingShape">
                  <wps:wsp>
                    <wps:cNvSpPr/>
                    <wps:spPr>
                      <a:xfrm>
                        <a:off x="5117400" y="3619980"/>
                        <a:ext cx="457200" cy="320040"/>
                      </a:xfrm>
                      <a:prstGeom prst="rect">
                        <a:avLst/>
                      </a:prstGeom>
                      <a:solidFill>
                        <a:srgbClr val="548135"/>
                      </a:solidFill>
                      <a:ln>
                        <a:noFill/>
                      </a:ln>
                    </wps:spPr>
                    <wps:txbx>
                      <w:txbxContent>
                        <w:p w14:paraId="5642D354" w14:textId="77777777" w:rsidR="00775354" w:rsidRDefault="00610FF5">
                          <w:pPr>
                            <w:spacing w:line="258" w:lineRule="auto"/>
                            <w:jc w:val="right"/>
                            <w:textDirection w:val="btLr"/>
                          </w:pPr>
                          <w:r>
                            <w:rPr>
                              <w:color w:val="FFFFFF"/>
                              <w:sz w:val="28"/>
                            </w:rPr>
                            <w:t>PAGE   \* MERGEFORMAT10</w:t>
                          </w:r>
                        </w:p>
                      </w:txbxContent>
                    </wps:txbx>
                    <wps:bodyPr spcFirstLastPara="1" wrap="square" lIns="91425" tIns="45700" rIns="91425" bIns="4570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0</wp:posOffset>
              </wp:positionH>
              <wp:positionV relativeFrom="paragraph">
                <wp:posOffset>9321800</wp:posOffset>
              </wp:positionV>
              <wp:extent cx="466725" cy="329565"/>
              <wp:effectExtent b="0" l="0" r="0" t="0"/>
              <wp:wrapSquare wrapText="bothSides" distB="0" distT="0" distL="0" distR="0"/>
              <wp:docPr id="41"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466725" cy="329565"/>
                      </a:xfrm>
                      <a:prstGeom prst="rect"/>
                      <a:ln/>
                    </pic:spPr>
                  </pic:pic>
                </a:graphicData>
              </a:graphic>
            </wp:anchor>
          </w:drawing>
        </mc:Fallback>
      </mc:AlternateContent>
    </w:r>
    <w:r>
      <w:rPr>
        <w:noProof/>
      </w:rPr>
      <mc:AlternateContent>
        <mc:Choice Requires="wpg">
          <w:drawing>
            <wp:anchor distT="0" distB="0" distL="0" distR="0" simplePos="0" relativeHeight="251659264" behindDoc="0" locked="0" layoutInCell="1" hidden="0" allowOverlap="1" wp14:anchorId="5F8F0327" wp14:editId="0C78C723">
              <wp:simplePos x="0" y="0"/>
              <wp:positionH relativeFrom="column">
                <wp:posOffset>0</wp:posOffset>
              </wp:positionH>
              <wp:positionV relativeFrom="paragraph">
                <wp:posOffset>266700</wp:posOffset>
              </wp:positionV>
              <wp:extent cx="5934710" cy="444500"/>
              <wp:effectExtent l="0" t="0" r="0" b="0"/>
              <wp:wrapSquare wrapText="bothSides" distT="0" distB="0" distL="0" distR="0"/>
              <wp:docPr id="48" name="Grupo 48"/>
              <wp:cNvGraphicFramePr/>
              <a:graphic xmlns:a="http://schemas.openxmlformats.org/drawingml/2006/main">
                <a:graphicData uri="http://schemas.microsoft.com/office/word/2010/wordprocessingGroup">
                  <wpg:wgp>
                    <wpg:cNvGrpSpPr/>
                    <wpg:grpSpPr>
                      <a:xfrm>
                        <a:off x="0" y="0"/>
                        <a:ext cx="5934710" cy="444500"/>
                        <a:chOff x="2378645" y="3557752"/>
                        <a:chExt cx="5934710" cy="444497"/>
                      </a:xfrm>
                    </wpg:grpSpPr>
                    <wpg:grpSp>
                      <wpg:cNvPr id="12" name="Grupo 12"/>
                      <wpg:cNvGrpSpPr/>
                      <wpg:grpSpPr>
                        <a:xfrm>
                          <a:off x="2378645" y="3557752"/>
                          <a:ext cx="5934710" cy="444497"/>
                          <a:chOff x="0" y="66676"/>
                          <a:chExt cx="5953830" cy="450382"/>
                        </a:xfrm>
                      </wpg:grpSpPr>
                      <wps:wsp>
                        <wps:cNvPr id="13" name="Rectángulo 13"/>
                        <wps:cNvSpPr/>
                        <wps:spPr>
                          <a:xfrm>
                            <a:off x="0" y="66676"/>
                            <a:ext cx="5953825" cy="450375"/>
                          </a:xfrm>
                          <a:prstGeom prst="rect">
                            <a:avLst/>
                          </a:prstGeom>
                          <a:noFill/>
                          <a:ln>
                            <a:noFill/>
                          </a:ln>
                        </wps:spPr>
                        <wps:txbx>
                          <w:txbxContent>
                            <w:p w14:paraId="377BCCA1"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14" name="Rectángulo 14"/>
                        <wps:cNvSpPr/>
                        <wps:spPr>
                          <a:xfrm>
                            <a:off x="10230" y="498232"/>
                            <a:ext cx="5943600" cy="18826"/>
                          </a:xfrm>
                          <a:prstGeom prst="rect">
                            <a:avLst/>
                          </a:prstGeom>
                          <a:solidFill>
                            <a:srgbClr val="548135"/>
                          </a:solidFill>
                          <a:ln>
                            <a:noFill/>
                          </a:ln>
                        </wps:spPr>
                        <wps:txbx>
                          <w:txbxContent>
                            <w:p w14:paraId="1B0F4D3F" w14:textId="77777777" w:rsidR="00775354" w:rsidRDefault="00775354">
                              <w:pPr>
                                <w:spacing w:after="0" w:line="240" w:lineRule="auto"/>
                                <w:textDirection w:val="btLr"/>
                              </w:pPr>
                            </w:p>
                          </w:txbxContent>
                        </wps:txbx>
                        <wps:bodyPr spcFirstLastPara="1" wrap="square" lIns="91425" tIns="91425" rIns="91425" bIns="91425" anchor="ctr" anchorCtr="0">
                          <a:noAutofit/>
                        </wps:bodyPr>
                      </wps:wsp>
                      <wps:wsp>
                        <wps:cNvPr id="15" name="Rectángulo 15"/>
                        <wps:cNvSpPr/>
                        <wps:spPr>
                          <a:xfrm>
                            <a:off x="0" y="66676"/>
                            <a:ext cx="5943600" cy="449793"/>
                          </a:xfrm>
                          <a:prstGeom prst="rect">
                            <a:avLst/>
                          </a:prstGeom>
                          <a:noFill/>
                          <a:ln>
                            <a:noFill/>
                          </a:ln>
                        </wps:spPr>
                        <wps:txbx>
                          <w:txbxContent>
                            <w:p w14:paraId="3BD2AE02" w14:textId="77777777" w:rsidR="00775354" w:rsidRDefault="00610FF5">
                              <w:pPr>
                                <w:spacing w:line="258" w:lineRule="auto"/>
                                <w:textDirection w:val="btLr"/>
                              </w:pPr>
                              <w:r>
                                <w:rPr>
                                  <w:color w:val="000000"/>
                                  <w:sz w:val="36"/>
                                </w:rPr>
                                <w:t>SPCI</w:t>
                              </w:r>
                            </w:p>
                          </w:txbxContent>
                        </wps:txbx>
                        <wps:bodyPr spcFirstLastPara="1" wrap="square" lIns="91425" tIns="45700" rIns="91425" bIns="0" anchor="b"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0</wp:posOffset>
              </wp:positionH>
              <wp:positionV relativeFrom="paragraph">
                <wp:posOffset>266700</wp:posOffset>
              </wp:positionV>
              <wp:extent cx="5934710" cy="444500"/>
              <wp:effectExtent b="0" l="0" r="0" t="0"/>
              <wp:wrapSquare wrapText="bothSides" distB="0" distT="0" distL="0" distR="0"/>
              <wp:docPr id="48" name="image16.png"/>
              <a:graphic>
                <a:graphicData uri="http://schemas.openxmlformats.org/drawingml/2006/picture">
                  <pic:pic>
                    <pic:nvPicPr>
                      <pic:cNvPr id="0" name="image16.png"/>
                      <pic:cNvPicPr preferRelativeResize="0"/>
                    </pic:nvPicPr>
                    <pic:blipFill>
                      <a:blip r:embed="rId2"/>
                      <a:srcRect/>
                      <a:stretch>
                        <a:fillRect/>
                      </a:stretch>
                    </pic:blipFill>
                    <pic:spPr>
                      <a:xfrm>
                        <a:off x="0" y="0"/>
                        <a:ext cx="5934710" cy="4445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2CC95F" w14:textId="77777777" w:rsidR="00B421D5" w:rsidRDefault="00B421D5">
      <w:pPr>
        <w:spacing w:after="0" w:line="240" w:lineRule="auto"/>
      </w:pPr>
      <w:r>
        <w:separator/>
      </w:r>
    </w:p>
  </w:footnote>
  <w:footnote w:type="continuationSeparator" w:id="0">
    <w:p w14:paraId="0A1267EB" w14:textId="77777777" w:rsidR="00B421D5" w:rsidRDefault="00B42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B7C59"/>
    <w:multiLevelType w:val="multilevel"/>
    <w:tmpl w:val="80547E1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E848C9"/>
    <w:multiLevelType w:val="multilevel"/>
    <w:tmpl w:val="38FEC5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783279"/>
    <w:multiLevelType w:val="multilevel"/>
    <w:tmpl w:val="1338C9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F86C8E"/>
    <w:multiLevelType w:val="multilevel"/>
    <w:tmpl w:val="984627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54"/>
    <w:rsid w:val="00093154"/>
    <w:rsid w:val="001C1191"/>
    <w:rsid w:val="002C2C73"/>
    <w:rsid w:val="003363CE"/>
    <w:rsid w:val="003533FD"/>
    <w:rsid w:val="00404C27"/>
    <w:rsid w:val="00610FF5"/>
    <w:rsid w:val="006D561E"/>
    <w:rsid w:val="00775354"/>
    <w:rsid w:val="0087714C"/>
    <w:rsid w:val="008B6689"/>
    <w:rsid w:val="00A53FCB"/>
    <w:rsid w:val="00AD5AAC"/>
    <w:rsid w:val="00B223DD"/>
    <w:rsid w:val="00B421D5"/>
    <w:rsid w:val="00E145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EF85"/>
  <w15:docId w15:val="{CD301903-9E9B-4FE9-8F11-B362CADA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6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F4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751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inespaciado">
    <w:name w:val="No Spacing"/>
    <w:link w:val="SinespaciadoCar"/>
    <w:uiPriority w:val="1"/>
    <w:qFormat/>
    <w:rsid w:val="00F00BBA"/>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F00BBA"/>
    <w:rPr>
      <w:rFonts w:eastAsiaTheme="minorEastAsia"/>
      <w:lang w:eastAsia="es-CO"/>
    </w:rPr>
  </w:style>
  <w:style w:type="paragraph" w:styleId="Prrafodelista">
    <w:name w:val="List Paragraph"/>
    <w:basedOn w:val="Normal"/>
    <w:qFormat/>
    <w:rsid w:val="00CA6619"/>
    <w:pPr>
      <w:ind w:left="720"/>
      <w:contextualSpacing/>
    </w:pPr>
  </w:style>
  <w:style w:type="character" w:customStyle="1" w:styleId="Ttulo1Car">
    <w:name w:val="Título 1 Car"/>
    <w:basedOn w:val="Fuentedeprrafopredeter"/>
    <w:link w:val="Ttulo1"/>
    <w:uiPriority w:val="9"/>
    <w:rsid w:val="00CA661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F417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CC10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026"/>
  </w:style>
  <w:style w:type="paragraph" w:styleId="Piedepgina">
    <w:name w:val="footer"/>
    <w:basedOn w:val="Normal"/>
    <w:link w:val="PiedepginaCar"/>
    <w:uiPriority w:val="99"/>
    <w:unhideWhenUsed/>
    <w:rsid w:val="00CC10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026"/>
  </w:style>
  <w:style w:type="table" w:styleId="Tablaconcuadrcula">
    <w:name w:val="Table Grid"/>
    <w:basedOn w:val="Tablanormal"/>
    <w:uiPriority w:val="39"/>
    <w:rsid w:val="0001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51EEE"/>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A04A0"/>
    <w:pPr>
      <w:outlineLvl w:val="9"/>
    </w:pPr>
  </w:style>
  <w:style w:type="paragraph" w:styleId="TDC1">
    <w:name w:val="toc 1"/>
    <w:basedOn w:val="Normal"/>
    <w:next w:val="Normal"/>
    <w:autoRedefine/>
    <w:uiPriority w:val="39"/>
    <w:unhideWhenUsed/>
    <w:rsid w:val="007A04A0"/>
    <w:pPr>
      <w:spacing w:after="100"/>
    </w:pPr>
  </w:style>
  <w:style w:type="paragraph" w:styleId="TDC2">
    <w:name w:val="toc 2"/>
    <w:basedOn w:val="Normal"/>
    <w:next w:val="Normal"/>
    <w:autoRedefine/>
    <w:uiPriority w:val="39"/>
    <w:unhideWhenUsed/>
    <w:rsid w:val="007A04A0"/>
    <w:pPr>
      <w:spacing w:after="100"/>
      <w:ind w:left="220"/>
    </w:pPr>
  </w:style>
  <w:style w:type="character" w:styleId="Hipervnculo">
    <w:name w:val="Hyperlink"/>
    <w:basedOn w:val="Fuentedeprrafopredeter"/>
    <w:uiPriority w:val="99"/>
    <w:unhideWhenUsed/>
    <w:rsid w:val="007A04A0"/>
    <w:rPr>
      <w:color w:val="0563C1" w:themeColor="hyperlink"/>
      <w:u w:val="single"/>
    </w:rPr>
  </w:style>
  <w:style w:type="character" w:styleId="Refdecomentario">
    <w:name w:val="annotation reference"/>
    <w:basedOn w:val="Fuentedeprrafopredeter"/>
    <w:uiPriority w:val="99"/>
    <w:semiHidden/>
    <w:unhideWhenUsed/>
    <w:rsid w:val="002F5C47"/>
    <w:rPr>
      <w:sz w:val="16"/>
      <w:szCs w:val="16"/>
    </w:rPr>
  </w:style>
  <w:style w:type="paragraph" w:styleId="Textocomentario">
    <w:name w:val="annotation text"/>
    <w:basedOn w:val="Normal"/>
    <w:link w:val="TextocomentarioCar"/>
    <w:uiPriority w:val="99"/>
    <w:semiHidden/>
    <w:unhideWhenUsed/>
    <w:rsid w:val="002F5C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F5C47"/>
    <w:rPr>
      <w:sz w:val="20"/>
      <w:szCs w:val="20"/>
    </w:rPr>
  </w:style>
  <w:style w:type="paragraph" w:styleId="Asuntodelcomentario">
    <w:name w:val="annotation subject"/>
    <w:basedOn w:val="Textocomentario"/>
    <w:next w:val="Textocomentario"/>
    <w:link w:val="AsuntodelcomentarioCar"/>
    <w:uiPriority w:val="99"/>
    <w:semiHidden/>
    <w:unhideWhenUsed/>
    <w:rsid w:val="002F5C47"/>
    <w:rPr>
      <w:b/>
      <w:bCs/>
    </w:rPr>
  </w:style>
  <w:style w:type="character" w:customStyle="1" w:styleId="AsuntodelcomentarioCar">
    <w:name w:val="Asunto del comentario Car"/>
    <w:basedOn w:val="TextocomentarioCar"/>
    <w:link w:val="Asuntodelcomentario"/>
    <w:uiPriority w:val="99"/>
    <w:semiHidden/>
    <w:rsid w:val="002F5C47"/>
    <w:rPr>
      <w:b/>
      <w:bCs/>
      <w:sz w:val="20"/>
      <w:szCs w:val="20"/>
    </w:rPr>
  </w:style>
  <w:style w:type="paragraph" w:styleId="Textodeglobo">
    <w:name w:val="Balloon Text"/>
    <w:basedOn w:val="Normal"/>
    <w:link w:val="TextodegloboCar"/>
    <w:uiPriority w:val="99"/>
    <w:semiHidden/>
    <w:unhideWhenUsed/>
    <w:rsid w:val="002F5C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C47"/>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image" Target="media/image14.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3.png"/><Relationship Id="rId23" Type="http://schemas.openxmlformats.org/officeDocument/2006/relationships/fontTable" Target="fontTable.xml"/><Relationship Id="rId10" Type="http://schemas.openxmlformats.org/officeDocument/2006/relationships/image" Target="media/image15.png"/><Relationship Id="rId19"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2.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uUqW/ZLv1xWkZZu3ekAGVDQ0Lg==">AMUW2mXPDA8rifuXKlKRSwTmj43q02Loc1SHsl0DmAkqrHAcKUCZHeynTm+JwOrWsssincjLZfGJ5znAij0v1liF7uILTZDVn/PDi+pXhq0bW1wdKGuQUF4i5/ZiIEe/Kr8JCKUOu1XUsjYYSvl+5VwBjH4HuqcnIiu3mqTfRwsm3TwimGGCAlFnyrUI77ghO2tR21v3MuzEpbNNgvRsPipYC3tuBNg9380f2XdRzFNJed2ZeWO0AjKg6IyhoMjb83ur0B6i6md3uDzi3h5HFFIf0fo4IbU+U5735uybUuk2z0ANUq7ovo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2891</Words>
  <Characters>15901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DISTRITAL DE AMBIENTE</dc:creator>
  <cp:lastModifiedBy>hector valbuena</cp:lastModifiedBy>
  <cp:revision>2</cp:revision>
  <dcterms:created xsi:type="dcterms:W3CDTF">2020-12-28T20:56:00Z</dcterms:created>
  <dcterms:modified xsi:type="dcterms:W3CDTF">2020-12-28T20:56:00Z</dcterms:modified>
</cp:coreProperties>
</file>