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Plan de descongestión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Contexto normativo</w:t>
      </w:r>
    </w:p>
    <w:p w:rsidR="00000000" w:rsidDel="00000000" w:rsidP="00000000" w:rsidRDefault="00000000" w:rsidRPr="00000000" w14:paraId="00000004">
      <w:pPr>
        <w:jc w:val="both"/>
        <w:rPr/>
      </w:pPr>
      <w:r w:rsidDel="00000000" w:rsidR="00000000" w:rsidRPr="00000000">
        <w:rPr>
          <w:rtl w:val="0"/>
        </w:rPr>
        <w:t xml:space="preserve">El régimen sancionatorio ambiental en Colombia ha sido objeto de importantes desarrollos normativos para fortalecer la protección del medioambiente y garantizar el cumplimiento de la legislación ambiental. La Ley 1333 de 2009 estableció el procedimiento sancionatorio ambiental, definiendo las infracciones, sanciones y medidas preventivas aplicables. Posteriormente, la Ley 2387 de 2024 introdujo modificaciones significativas para optimizar este procedimiento y dotar a las autoridades de herramientas en la prevención y sanción de infracciones ambientales.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Estas normas otorgan a la Secretaría Distrital de Ambiente (SDA) la competencia para ejercer la potestad sancionatoria, de conformidad con el artículo 66 de la Ley 99 de 1993, en virtud de la cual la SDA puede investigar, evaluar y sancionar las conductas que constituyan infracción ambiental en el Distrito Capital. Para ello, la entidad cuenta con instrumentos como la imposición de medidas preventivas, sanciones y los mecanismos de corrección o compensación, para con ellos garantizar la protección efectiva de los recursos naturales y el medioambiente en la ciudad de Bogotá.</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La Ley 2387 de 2024 introdujo algunos cambios en el procedimiento sancionatorio ambiental, entre los cuales se destacan: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Incremento de las multas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El tope máximo de las multas se elevó a 100.000 SMLMV</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Con esto se busca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robustecer la capacidad disuasoria de las sanciones económicas.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Incorporación de la etapa de alegatos de conclusión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 añadió esta etapa al procedimiento sancionatorio, </w:t>
      </w:r>
      <w:r w:rsidDel="00000000" w:rsidR="00000000" w:rsidRPr="00000000">
        <w:rPr>
          <w:rtl w:val="0"/>
        </w:rPr>
        <w:t xml:space="preserve">para permitir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los investigados presentar sus argumentos finales antes de la decisión, siempre que se hayan practicado pruebas en el periodo probatorio.</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Ampliación del término para declarar la responsabilidad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El plazo para que la autoridad ambiental emita la decisión sobre la responsabilidad del infractor se extendió de 15 a 80 días hábiles, </w:t>
      </w:r>
      <w:r w:rsidDel="00000000" w:rsidR="00000000" w:rsidRPr="00000000">
        <w:rPr>
          <w:rtl w:val="0"/>
        </w:rPr>
        <w:t xml:space="preserve">con lo que se otorga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más tiempo para </w:t>
      </w:r>
      <w:r w:rsidDel="00000000" w:rsidR="00000000" w:rsidRPr="00000000">
        <w:rPr>
          <w:rtl w:val="0"/>
        </w:rPr>
        <w:t xml:space="preserve"> evaluar un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caso.</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Suspensión y terminación anticipada del procedimiento por corrección y/o compensación ambiental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 estableció la posibilidad de suspender el procedimiento sancionatorio si el presunto infractor propone y ejecuta medidas para corregir o compensar el daño ambiental</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Esto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puede </w:t>
      </w:r>
      <w:r w:rsidDel="00000000" w:rsidR="00000000" w:rsidRPr="00000000">
        <w:rPr>
          <w:rtl w:val="0"/>
        </w:rPr>
        <w:t xml:space="preserve">lleva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 a la terminación anticipada del proceso.</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Uno de los cambios más relevantes es la introducción de un término perentorio de cinco años, contados a partir del inicio formal del procedimiento sancionatorio, para adelantar las diferentes etapas procesales y adoptar una decisión de fondo, en concordancia con los principios de eficacia, economía y debido proceso. Este límite temporal obliga a la administración a implementar mecanismos que eviten la paralización de actuaciones, promuevan la descongestión y optimicen los recursos disponibles, como lo pretende este plan. Este término es prorrogable por una sola vez, por un lapso igual con base en la complejidad del caso o del acervo probatorio.</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Así mismo, la Ley 2387 de 2024 cualificó los requisitos para la formulación de cargos, al exigir no solo la identificación de la conducta infractora y su subsunción en el postulado normativo correspondiente, sino la evaluación de la potencialidad de la conducta para causar daño, afectación o riesgo ambiental, lo cual fortalece el principio de lesividad y el carácter material del derecho sancionador. Además, se impone la obligación de motivar expresamente la aplicación de las circunstancias agravantes, lo que refuerza la exigencia de argumentación técnica y jurídica en cada caso concreto.</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Estas disposiciones implican un mayor grado de exigencia en el análisis previo a la expedición de actos administrativos, razón por la cual el Plan de Descongestión prevé tiempos razonables para la revisión individualizada de cada expediente, así como medidas para la estandarización de criterios jurídicos en torno a la formulación de cargos y la estructuración del daño ambiental.</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Estas modificaciones tienen como propósito hacer el procedimiento más eficiente, y garantizar los derechos de las partes y una mayor efectividad en la aplicación de las sanciones ambientales.</w:t>
      </w:r>
    </w:p>
    <w:p w:rsidR="00000000" w:rsidDel="00000000" w:rsidP="00000000" w:rsidRDefault="00000000" w:rsidRPr="00000000" w14:paraId="00000016">
      <w:pPr>
        <w:pStyle w:val="Heading1"/>
        <w:rPr/>
      </w:pPr>
      <w:r w:rsidDel="00000000" w:rsidR="00000000" w:rsidRPr="00000000">
        <w:rPr>
          <w:rtl w:val="0"/>
        </w:rPr>
        <w:t xml:space="preserve">Descongestión de procesos sancionatorios</w:t>
      </w:r>
    </w:p>
    <w:p w:rsidR="00000000" w:rsidDel="00000000" w:rsidP="00000000" w:rsidRDefault="00000000" w:rsidRPr="00000000" w14:paraId="00000017">
      <w:pPr>
        <w:jc w:val="both"/>
        <w:rPr/>
      </w:pPr>
      <w:r w:rsidDel="00000000" w:rsidR="00000000" w:rsidRPr="00000000">
        <w:rPr>
          <w:rtl w:val="0"/>
        </w:rPr>
        <w:t xml:space="preserve">La acumulación de procesos sancionatorios en la SDA ha generado retrasos en la resolución de casos, que afecta la eficacia del régimen sancionatorio. La Ley 2387 de 2024 establece la obligación de formular un plan de descongestión para los procesos sancionatorios ambientales que superen los 15 años y estén próximos a los 20 años desde su inicio, para resolver estos expedientes en un plazo máximo de tres años.</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Así, la implementación de un Plan de Descongestión de Procesos Sancionatorios Ambientales es fundamental para garantizar la eficacia y eficiencia en la aplicación de las normas ambientales.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Este plan no solo busca reducir el rezago de expedientes, sino asegurar que los procedimientos se desarrollen conforme a los principios del derecho administrativo, respetando los derechos de las partes involucradas y cumpliendo con los deberes de la autoridad ambiental.</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El procedimiento sancionatorio ambiental se rige por principios fundamentales que orientan la actuación de las autoridades y garantizan la protección de los derechos de los administrados. Entre ellos, se destacan la legalidad, que exige que toda actuación administrativa esté fundamentada en la ley; el debido proceso, que garantiza que los procedimientos se realicen de manera justa y con posibilidad de defensa; la imparcialidad, que obliga a las autoridades a actuar con objetividad; la transparencia, que permite que las actuaciones sean accesibles a las partes interesadas; la celeridad, que busca evitar dilaciones injustificadas, y la proporcionalidad, que establece que las sanciones sean adecuadas a la gravedad de la infracción.</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Dentro del procedimiento sancionatorio, los administrados cuentan con derechos esenciales que garantizan su protección y participación efectiva. Entre estos, el derecho de defensa les permite presentar descargos, aportar pruebas y controvertir las que se presenten en su contra. Asimismo, tienen el derecho a ser notificados, para conocer oportunamente las actuaciones y decisiones que los afectan, y el derecho a la presunción de inocencia, que establece que solo podrán ser sancionados una vez se demuestre su responsabilidad en el proceso. Además, tienen derecho a la igualdad, es decir, a ser tratados sin discriminación alguna, y a al acceso a la información, es decir, a los documentos y actuaciones del expediente.</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Por su parte, las autoridades ambientales tienen la responsabilidad de iniciar y conducir el procedimiento sancionatorio cuando se detecten posibles infracciones. También deben garantizar el debido proceso, asegurando que cada etapa del procedimiento se realice conforme a la ley y respetando los derechos de las partes. Además, están encargadas de imponer sanciones y medidas correctivas, así como de informar y notificar a los interesados sobre las decisiones adoptadas. Mantener la transparencia en sus actuaciones es un deber esencial, al igual que respetar los principios de proporcionalidad y razonabilidad en la imposición de sanciones y medidas.</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La acumulación de procesos sancionatorios sin resolver puede generar impunidad y desconfianza en la gestión ambiental. Por ello, es necesario adoptar medidas que permitan optimizar los procesos administrativos, identificar acciones de mejora y garantizar que las decisiones sancionatorias se ajusten a lo dispuesto en la Ley 1333 de 2009 y las modificaciones introducidas por la Ley 2387 de 2024.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En consecuencia, la ejecución efectiva de un plan de descongestión permitirá reducir la carga procesal, fortalecer la confianza social en el sistema sancionatorio ambiental y asegurar una protección efectiva del medio ambiente. Además, garantizará que las sanciones y medidas correctivas se apliquen de manera oportuna y justa, con lo que se contribuirá a cumplir con el fin disuasorio de la norma, en la medida en que una respuesta pronta y proporcional frente a la infracción ambiental desalienta la repetición de conductas lesivas, promueve la observancia de la normativa ambiental y reafirma la autoridad legítima del Estado en la defensa del interés general.</w:t>
      </w:r>
    </w:p>
    <w:p w:rsidR="00000000" w:rsidDel="00000000" w:rsidP="00000000" w:rsidRDefault="00000000" w:rsidRPr="00000000" w14:paraId="00000026">
      <w:pPr>
        <w:pStyle w:val="Heading1"/>
        <w:rPr/>
      </w:pPr>
      <w:r w:rsidDel="00000000" w:rsidR="00000000" w:rsidRPr="00000000">
        <w:rPr>
          <w:rtl w:val="0"/>
        </w:rPr>
        <w:t xml:space="preserve">Análisis de los expedientes sancionatorios con antigüedad entre 10 y 19 años</w:t>
      </w:r>
    </w:p>
    <w:p w:rsidR="00000000" w:rsidDel="00000000" w:rsidP="00000000" w:rsidRDefault="00000000" w:rsidRPr="00000000" w14:paraId="00000027">
      <w:pPr>
        <w:jc w:val="both"/>
        <w:rPr/>
      </w:pPr>
      <w:r w:rsidDel="00000000" w:rsidR="00000000" w:rsidRPr="00000000">
        <w:rPr>
          <w:rtl w:val="0"/>
        </w:rPr>
        <w:t xml:space="preserve">Si bien la Ley 2387 de 2024 ordena la formulación e implementación de un plan de descongestión para procedimientos que tengan de 15 a 20 años de antigüedad, la SDA considera que es necesario ampliar el espectro temporal del plan al rango de 10 a 19 años.</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La revisión de los expedientes sancionatorios con una antigüedad de entre 10 y 19 años revela un total de </w:t>
      </w:r>
      <w:r w:rsidDel="00000000" w:rsidR="00000000" w:rsidRPr="00000000">
        <w:rPr>
          <w:b w:val="1"/>
          <w:rtl w:val="0"/>
        </w:rPr>
        <w:t xml:space="preserve">4.314 expedientes</w:t>
      </w:r>
      <w:r w:rsidDel="00000000" w:rsidR="00000000" w:rsidRPr="00000000">
        <w:rPr>
          <w:rtl w:val="0"/>
        </w:rPr>
        <w:t xml:space="preserve"> pendientes de resolución dentro de la SDA. Estos expedientes se encuentran distribuidos en temáticas o tipos de infracción provenientes de las diferentes subdirecciones de la Dirección de Control Ambiental, lo que evidencia la magnitud del rezago y la necesidad de implementar estrategias efectivas de descongestión.</w:t>
      </w:r>
    </w:p>
    <w:p w:rsidR="00000000" w:rsidDel="00000000" w:rsidP="00000000" w:rsidRDefault="00000000" w:rsidRPr="00000000" w14:paraId="0000002A">
      <w:pPr>
        <w:jc w:val="both"/>
        <w:rPr/>
      </w:pPr>
      <w:r w:rsidDel="00000000" w:rsidR="00000000" w:rsidRPr="00000000">
        <w:rPr>
          <w:rtl w:val="0"/>
        </w:rPr>
      </w:r>
    </w:p>
    <w:tbl>
      <w:tblPr>
        <w:tblStyle w:val="Table1"/>
        <w:tblW w:w="9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5"/>
        <w:gridCol w:w="645"/>
        <w:gridCol w:w="615"/>
        <w:gridCol w:w="600"/>
        <w:gridCol w:w="600"/>
        <w:gridCol w:w="660"/>
        <w:gridCol w:w="645"/>
        <w:gridCol w:w="630"/>
        <w:gridCol w:w="585"/>
        <w:gridCol w:w="600"/>
        <w:gridCol w:w="580.0000000000011"/>
        <w:gridCol w:w="829.9999999999989"/>
        <w:tblGridChange w:id="0">
          <w:tblGrid>
            <w:gridCol w:w="2715"/>
            <w:gridCol w:w="645"/>
            <w:gridCol w:w="615"/>
            <w:gridCol w:w="600"/>
            <w:gridCol w:w="600"/>
            <w:gridCol w:w="660"/>
            <w:gridCol w:w="645"/>
            <w:gridCol w:w="630"/>
            <w:gridCol w:w="585"/>
            <w:gridCol w:w="600"/>
            <w:gridCol w:w="580.0000000000011"/>
            <w:gridCol w:w="829.9999999999989"/>
          </w:tblGrid>
        </w:tblGridChange>
      </w:tblGrid>
      <w:tr>
        <w:trPr>
          <w:cantSplit w:val="0"/>
          <w:trHeight w:val="320" w:hRule="atLeast"/>
          <w:tblHeader w:val="0"/>
        </w:trPr>
        <w:tc>
          <w:tcPr>
            <w:shd w:fill="156082" w:val="clear"/>
            <w:vAlign w:val="center"/>
          </w:tcPr>
          <w:p w:rsidR="00000000" w:rsidDel="00000000" w:rsidP="00000000" w:rsidRDefault="00000000" w:rsidRPr="00000000" w14:paraId="0000002B">
            <w:pP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Subdirección</w:t>
            </w:r>
          </w:p>
        </w:tc>
        <w:tc>
          <w:tcPr>
            <w:shd w:fill="156082" w:val="clear"/>
            <w:vAlign w:val="center"/>
          </w:tcPr>
          <w:p w:rsidR="00000000" w:rsidDel="00000000" w:rsidP="00000000" w:rsidRDefault="00000000" w:rsidRPr="00000000" w14:paraId="0000002C">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10 años</w:t>
            </w:r>
          </w:p>
        </w:tc>
        <w:tc>
          <w:tcPr>
            <w:shd w:fill="156082" w:val="clear"/>
            <w:vAlign w:val="center"/>
          </w:tcPr>
          <w:p w:rsidR="00000000" w:rsidDel="00000000" w:rsidP="00000000" w:rsidRDefault="00000000" w:rsidRPr="00000000" w14:paraId="0000002D">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11 años</w:t>
            </w:r>
          </w:p>
        </w:tc>
        <w:tc>
          <w:tcPr>
            <w:shd w:fill="156082" w:val="clear"/>
            <w:vAlign w:val="center"/>
          </w:tcPr>
          <w:p w:rsidR="00000000" w:rsidDel="00000000" w:rsidP="00000000" w:rsidRDefault="00000000" w:rsidRPr="00000000" w14:paraId="0000002E">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12 años</w:t>
            </w:r>
          </w:p>
        </w:tc>
        <w:tc>
          <w:tcPr>
            <w:shd w:fill="156082" w:val="clear"/>
            <w:vAlign w:val="center"/>
          </w:tcPr>
          <w:p w:rsidR="00000000" w:rsidDel="00000000" w:rsidP="00000000" w:rsidRDefault="00000000" w:rsidRPr="00000000" w14:paraId="0000002F">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13 años</w:t>
            </w:r>
          </w:p>
        </w:tc>
        <w:tc>
          <w:tcPr>
            <w:shd w:fill="156082" w:val="clear"/>
            <w:vAlign w:val="center"/>
          </w:tcPr>
          <w:p w:rsidR="00000000" w:rsidDel="00000000" w:rsidP="00000000" w:rsidRDefault="00000000" w:rsidRPr="00000000" w14:paraId="00000030">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14 años</w:t>
            </w:r>
          </w:p>
        </w:tc>
        <w:tc>
          <w:tcPr>
            <w:shd w:fill="156082" w:val="clear"/>
            <w:vAlign w:val="center"/>
          </w:tcPr>
          <w:p w:rsidR="00000000" w:rsidDel="00000000" w:rsidP="00000000" w:rsidRDefault="00000000" w:rsidRPr="00000000" w14:paraId="00000031">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15 años</w:t>
            </w:r>
          </w:p>
        </w:tc>
        <w:tc>
          <w:tcPr>
            <w:shd w:fill="156082" w:val="clear"/>
            <w:vAlign w:val="center"/>
          </w:tcPr>
          <w:p w:rsidR="00000000" w:rsidDel="00000000" w:rsidP="00000000" w:rsidRDefault="00000000" w:rsidRPr="00000000" w14:paraId="00000032">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16 años</w:t>
            </w:r>
          </w:p>
        </w:tc>
        <w:tc>
          <w:tcPr>
            <w:shd w:fill="156082" w:val="clear"/>
            <w:vAlign w:val="center"/>
          </w:tcPr>
          <w:p w:rsidR="00000000" w:rsidDel="00000000" w:rsidP="00000000" w:rsidRDefault="00000000" w:rsidRPr="00000000" w14:paraId="00000033">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17 años</w:t>
            </w:r>
          </w:p>
        </w:tc>
        <w:tc>
          <w:tcPr>
            <w:shd w:fill="156082" w:val="clear"/>
            <w:vAlign w:val="center"/>
          </w:tcPr>
          <w:p w:rsidR="00000000" w:rsidDel="00000000" w:rsidP="00000000" w:rsidRDefault="00000000" w:rsidRPr="00000000" w14:paraId="00000034">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18 años</w:t>
            </w:r>
          </w:p>
        </w:tc>
        <w:tc>
          <w:tcPr>
            <w:shd w:fill="156082" w:val="clear"/>
            <w:vAlign w:val="center"/>
          </w:tcPr>
          <w:p w:rsidR="00000000" w:rsidDel="00000000" w:rsidP="00000000" w:rsidRDefault="00000000" w:rsidRPr="00000000" w14:paraId="00000035">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8"/>
                <w:szCs w:val="18"/>
                <w:rtl w:val="0"/>
              </w:rPr>
              <w:t xml:space="preserve">19 años</w:t>
            </w:r>
          </w:p>
        </w:tc>
        <w:tc>
          <w:tcPr>
            <w:shd w:fill="156082" w:val="clear"/>
            <w:vAlign w:val="center"/>
          </w:tcPr>
          <w:p w:rsidR="00000000" w:rsidDel="00000000" w:rsidP="00000000" w:rsidRDefault="00000000" w:rsidRPr="00000000" w14:paraId="00000036">
            <w:pPr>
              <w:jc w:val="center"/>
              <w:rPr>
                <w:rFonts w:ascii="Aptos Narrow" w:cs="Aptos Narrow" w:eastAsia="Aptos Narrow" w:hAnsi="Aptos Narrow"/>
                <w:b w:val="1"/>
                <w:color w:val="ffffff"/>
                <w:sz w:val="18"/>
                <w:szCs w:val="18"/>
              </w:rPr>
            </w:pPr>
            <w:r w:rsidDel="00000000" w:rsidR="00000000" w:rsidRPr="00000000">
              <w:rPr>
                <w:rFonts w:ascii="Aptos Narrow" w:cs="Aptos Narrow" w:eastAsia="Aptos Narrow" w:hAnsi="Aptos Narrow"/>
                <w:b w:val="1"/>
                <w:color w:val="ffffff"/>
                <w:sz w:val="15"/>
                <w:szCs w:val="15"/>
                <w:rtl w:val="0"/>
              </w:rPr>
              <w:t xml:space="preserve">Total general</w:t>
            </w:r>
            <w:r w:rsidDel="00000000" w:rsidR="00000000" w:rsidRPr="00000000">
              <w:rPr>
                <w:rtl w:val="0"/>
              </w:rPr>
            </w:r>
          </w:p>
        </w:tc>
      </w:tr>
      <w:tr>
        <w:trPr>
          <w:cantSplit w:val="0"/>
          <w:trHeight w:val="340" w:hRule="atLeast"/>
          <w:tblHeader w:val="0"/>
        </w:trPr>
        <w:tc>
          <w:tcPr>
            <w:shd w:fill="c0e6f5" w:val="clear"/>
            <w:vAlign w:val="center"/>
          </w:tcPr>
          <w:p w:rsidR="00000000" w:rsidDel="00000000" w:rsidP="00000000" w:rsidRDefault="00000000" w:rsidRPr="00000000" w14:paraId="00000037">
            <w:pP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Subdirección de Calidad del Aire, Auditiva y Visual </w:t>
            </w:r>
            <w:r w:rsidDel="00000000" w:rsidR="00000000" w:rsidRPr="00000000">
              <w:rPr>
                <w:rFonts w:ascii="Aptos Narrow" w:cs="Aptos Narrow" w:eastAsia="Aptos Narrow" w:hAnsi="Aptos Narrow"/>
                <w:sz w:val="18"/>
                <w:szCs w:val="18"/>
                <w:rtl w:val="0"/>
              </w:rPr>
              <w:t xml:space="preserve">(</w:t>
            </w:r>
            <w:r w:rsidDel="00000000" w:rsidR="00000000" w:rsidRPr="00000000">
              <w:rPr>
                <w:rFonts w:ascii="Aptos Narrow" w:cs="Aptos Narrow" w:eastAsia="Aptos Narrow" w:hAnsi="Aptos Narrow"/>
                <w:color w:val="000000"/>
                <w:sz w:val="18"/>
                <w:szCs w:val="18"/>
                <w:rtl w:val="0"/>
              </w:rPr>
              <w:t xml:space="preserve">SCAAV)</w:t>
            </w:r>
          </w:p>
        </w:tc>
        <w:tc>
          <w:tcPr>
            <w:shd w:fill="c0e6f5" w:val="clear"/>
            <w:vAlign w:val="center"/>
          </w:tcPr>
          <w:p w:rsidR="00000000" w:rsidDel="00000000" w:rsidP="00000000" w:rsidRDefault="00000000" w:rsidRPr="00000000" w14:paraId="00000038">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569</w:t>
            </w:r>
          </w:p>
        </w:tc>
        <w:tc>
          <w:tcPr>
            <w:shd w:fill="c0e6f5" w:val="clear"/>
            <w:vAlign w:val="center"/>
          </w:tcPr>
          <w:p w:rsidR="00000000" w:rsidDel="00000000" w:rsidP="00000000" w:rsidRDefault="00000000" w:rsidRPr="00000000" w14:paraId="00000039">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537</w:t>
            </w:r>
          </w:p>
        </w:tc>
        <w:tc>
          <w:tcPr>
            <w:shd w:fill="c0e6f5" w:val="clear"/>
            <w:vAlign w:val="center"/>
          </w:tcPr>
          <w:p w:rsidR="00000000" w:rsidDel="00000000" w:rsidP="00000000" w:rsidRDefault="00000000" w:rsidRPr="00000000" w14:paraId="0000003A">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251</w:t>
            </w:r>
          </w:p>
        </w:tc>
        <w:tc>
          <w:tcPr>
            <w:shd w:fill="c0e6f5" w:val="clear"/>
            <w:vAlign w:val="center"/>
          </w:tcPr>
          <w:p w:rsidR="00000000" w:rsidDel="00000000" w:rsidP="00000000" w:rsidRDefault="00000000" w:rsidRPr="00000000" w14:paraId="0000003B">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314</w:t>
            </w:r>
          </w:p>
        </w:tc>
        <w:tc>
          <w:tcPr>
            <w:shd w:fill="c0e6f5" w:val="clear"/>
            <w:vAlign w:val="center"/>
          </w:tcPr>
          <w:p w:rsidR="00000000" w:rsidDel="00000000" w:rsidP="00000000" w:rsidRDefault="00000000" w:rsidRPr="00000000" w14:paraId="0000003C">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61</w:t>
            </w:r>
          </w:p>
        </w:tc>
        <w:tc>
          <w:tcPr>
            <w:shd w:fill="c0e6f5" w:val="clear"/>
            <w:vAlign w:val="center"/>
          </w:tcPr>
          <w:p w:rsidR="00000000" w:rsidDel="00000000" w:rsidP="00000000" w:rsidRDefault="00000000" w:rsidRPr="00000000" w14:paraId="0000003D">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32</w:t>
            </w:r>
          </w:p>
        </w:tc>
        <w:tc>
          <w:tcPr>
            <w:shd w:fill="c0e6f5" w:val="clear"/>
            <w:vAlign w:val="center"/>
          </w:tcPr>
          <w:p w:rsidR="00000000" w:rsidDel="00000000" w:rsidP="00000000" w:rsidRDefault="00000000" w:rsidRPr="00000000" w14:paraId="0000003E">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7</w:t>
            </w:r>
          </w:p>
        </w:tc>
        <w:tc>
          <w:tcPr>
            <w:shd w:fill="c0e6f5" w:val="clear"/>
            <w:vAlign w:val="center"/>
          </w:tcPr>
          <w:p w:rsidR="00000000" w:rsidDel="00000000" w:rsidP="00000000" w:rsidRDefault="00000000" w:rsidRPr="00000000" w14:paraId="0000003F">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3</w:t>
            </w:r>
          </w:p>
        </w:tc>
        <w:tc>
          <w:tcPr>
            <w:shd w:fill="c0e6f5" w:val="clear"/>
            <w:vAlign w:val="center"/>
          </w:tcPr>
          <w:p w:rsidR="00000000" w:rsidDel="00000000" w:rsidP="00000000" w:rsidRDefault="00000000" w:rsidRPr="00000000" w14:paraId="00000040">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4</w:t>
            </w:r>
          </w:p>
        </w:tc>
        <w:tc>
          <w:tcPr>
            <w:shd w:fill="c0e6f5" w:val="clear"/>
            <w:vAlign w:val="center"/>
          </w:tcPr>
          <w:p w:rsidR="00000000" w:rsidDel="00000000" w:rsidP="00000000" w:rsidRDefault="00000000" w:rsidRPr="00000000" w14:paraId="00000041">
            <w:pPr>
              <w:jc w:val="center"/>
              <w:rPr>
                <w:rFonts w:ascii="Aptos" w:cs="Aptos" w:eastAsia="Aptos" w:hAnsi="Aptos"/>
                <w:color w:val="000000"/>
                <w:sz w:val="18"/>
                <w:szCs w:val="18"/>
              </w:rPr>
            </w:pPr>
            <w:r w:rsidDel="00000000" w:rsidR="00000000" w:rsidRPr="00000000">
              <w:rPr>
                <w:rtl w:val="0"/>
              </w:rPr>
            </w:r>
          </w:p>
        </w:tc>
        <w:tc>
          <w:tcPr>
            <w:shd w:fill="c0e6f5" w:val="clear"/>
            <w:vAlign w:val="center"/>
          </w:tcPr>
          <w:p w:rsidR="00000000" w:rsidDel="00000000" w:rsidP="00000000" w:rsidRDefault="00000000" w:rsidRPr="00000000" w14:paraId="00000042">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1778</w:t>
            </w:r>
          </w:p>
        </w:tc>
      </w:tr>
      <w:tr>
        <w:trPr>
          <w:cantSplit w:val="0"/>
          <w:trHeight w:val="660" w:hRule="atLeast"/>
          <w:tblHeader w:val="0"/>
        </w:trPr>
        <w:tc>
          <w:tcPr>
            <w:vAlign w:val="center"/>
          </w:tcPr>
          <w:p w:rsidR="00000000" w:rsidDel="00000000" w:rsidP="00000000" w:rsidRDefault="00000000" w:rsidRPr="00000000" w14:paraId="00000043">
            <w:pP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Subdirección de Control Ambiental al Sector Público (SCASP)</w:t>
            </w:r>
          </w:p>
        </w:tc>
        <w:tc>
          <w:tcPr>
            <w:vAlign w:val="center"/>
          </w:tcPr>
          <w:p w:rsidR="00000000" w:rsidDel="00000000" w:rsidP="00000000" w:rsidRDefault="00000000" w:rsidRPr="00000000" w14:paraId="00000044">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94</w:t>
            </w:r>
          </w:p>
        </w:tc>
        <w:tc>
          <w:tcPr>
            <w:vAlign w:val="center"/>
          </w:tcPr>
          <w:p w:rsidR="00000000" w:rsidDel="00000000" w:rsidP="00000000" w:rsidRDefault="00000000" w:rsidRPr="00000000" w14:paraId="00000045">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63</w:t>
            </w:r>
          </w:p>
        </w:tc>
        <w:tc>
          <w:tcPr>
            <w:vAlign w:val="center"/>
          </w:tcPr>
          <w:p w:rsidR="00000000" w:rsidDel="00000000" w:rsidP="00000000" w:rsidRDefault="00000000" w:rsidRPr="00000000" w14:paraId="00000046">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33</w:t>
            </w:r>
          </w:p>
        </w:tc>
        <w:tc>
          <w:tcPr>
            <w:vAlign w:val="center"/>
          </w:tcPr>
          <w:p w:rsidR="00000000" w:rsidDel="00000000" w:rsidP="00000000" w:rsidRDefault="00000000" w:rsidRPr="00000000" w14:paraId="00000047">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17</w:t>
            </w:r>
          </w:p>
        </w:tc>
        <w:tc>
          <w:tcPr>
            <w:vAlign w:val="center"/>
          </w:tcPr>
          <w:p w:rsidR="00000000" w:rsidDel="00000000" w:rsidP="00000000" w:rsidRDefault="00000000" w:rsidRPr="00000000" w14:paraId="00000048">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20</w:t>
            </w:r>
          </w:p>
        </w:tc>
        <w:tc>
          <w:tcPr>
            <w:vAlign w:val="center"/>
          </w:tcPr>
          <w:p w:rsidR="00000000" w:rsidDel="00000000" w:rsidP="00000000" w:rsidRDefault="00000000" w:rsidRPr="00000000" w14:paraId="00000049">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w:t>
            </w:r>
          </w:p>
        </w:tc>
        <w:tc>
          <w:tcPr>
            <w:vAlign w:val="center"/>
          </w:tcPr>
          <w:p w:rsidR="00000000" w:rsidDel="00000000" w:rsidP="00000000" w:rsidRDefault="00000000" w:rsidRPr="00000000" w14:paraId="0000004A">
            <w:pPr>
              <w:jc w:val="center"/>
              <w:rPr>
                <w:rFonts w:ascii="Aptos" w:cs="Aptos" w:eastAsia="Aptos" w:hAnsi="Aptos"/>
                <w:color w:val="000000"/>
                <w:sz w:val="18"/>
                <w:szCs w:val="18"/>
              </w:rPr>
            </w:pPr>
            <w:r w:rsidDel="00000000" w:rsidR="00000000" w:rsidRPr="00000000">
              <w:rPr>
                <w:rtl w:val="0"/>
              </w:rPr>
            </w:r>
          </w:p>
        </w:tc>
        <w:tc>
          <w:tcPr>
            <w:vAlign w:val="center"/>
          </w:tcPr>
          <w:p w:rsidR="00000000" w:rsidDel="00000000" w:rsidP="00000000" w:rsidRDefault="00000000" w:rsidRPr="00000000" w14:paraId="0000004B">
            <w:pPr>
              <w:jc w:val="center"/>
              <w:rPr>
                <w:rFonts w:ascii="Aptos" w:cs="Aptos" w:eastAsia="Aptos" w:hAnsi="Aptos"/>
                <w:color w:val="000000"/>
                <w:sz w:val="18"/>
                <w:szCs w:val="18"/>
              </w:rPr>
            </w:pPr>
            <w:r w:rsidDel="00000000" w:rsidR="00000000" w:rsidRPr="00000000">
              <w:rPr>
                <w:rtl w:val="0"/>
              </w:rPr>
            </w:r>
          </w:p>
        </w:tc>
        <w:tc>
          <w:tcPr>
            <w:vAlign w:val="center"/>
          </w:tcPr>
          <w:p w:rsidR="00000000" w:rsidDel="00000000" w:rsidP="00000000" w:rsidRDefault="00000000" w:rsidRPr="00000000" w14:paraId="0000004C">
            <w:pPr>
              <w:jc w:val="center"/>
              <w:rPr>
                <w:rFonts w:ascii="Aptos" w:cs="Aptos" w:eastAsia="Aptos" w:hAnsi="Aptos"/>
                <w:color w:val="000000"/>
                <w:sz w:val="18"/>
                <w:szCs w:val="18"/>
              </w:rPr>
            </w:pPr>
            <w:r w:rsidDel="00000000" w:rsidR="00000000" w:rsidRPr="00000000">
              <w:rPr>
                <w:rtl w:val="0"/>
              </w:rPr>
            </w:r>
          </w:p>
        </w:tc>
        <w:tc>
          <w:tcPr>
            <w:vAlign w:val="center"/>
          </w:tcPr>
          <w:p w:rsidR="00000000" w:rsidDel="00000000" w:rsidP="00000000" w:rsidRDefault="00000000" w:rsidRPr="00000000" w14:paraId="0000004D">
            <w:pPr>
              <w:jc w:val="center"/>
              <w:rPr>
                <w:rFonts w:ascii="Aptos" w:cs="Aptos" w:eastAsia="Aptos" w:hAnsi="Aptos"/>
                <w:color w:val="000000"/>
                <w:sz w:val="18"/>
                <w:szCs w:val="18"/>
              </w:rPr>
            </w:pPr>
            <w:r w:rsidDel="00000000" w:rsidR="00000000" w:rsidRPr="00000000">
              <w:rPr>
                <w:rtl w:val="0"/>
              </w:rPr>
            </w:r>
          </w:p>
        </w:tc>
        <w:tc>
          <w:tcPr>
            <w:shd w:fill="c0e6f5" w:val="clear"/>
            <w:vAlign w:val="center"/>
          </w:tcPr>
          <w:p w:rsidR="00000000" w:rsidDel="00000000" w:rsidP="00000000" w:rsidRDefault="00000000" w:rsidRPr="00000000" w14:paraId="0000004E">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229</w:t>
            </w:r>
          </w:p>
        </w:tc>
      </w:tr>
      <w:tr>
        <w:trPr>
          <w:cantSplit w:val="0"/>
          <w:trHeight w:val="340" w:hRule="atLeast"/>
          <w:tblHeader w:val="0"/>
        </w:trPr>
        <w:tc>
          <w:tcPr>
            <w:shd w:fill="c0e6f5" w:val="clear"/>
            <w:vAlign w:val="center"/>
          </w:tcPr>
          <w:p w:rsidR="00000000" w:rsidDel="00000000" w:rsidP="00000000" w:rsidRDefault="00000000" w:rsidRPr="00000000" w14:paraId="0000004F">
            <w:pP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Subdirección del Recurso Hídrico y del Suelo - SRHS</w:t>
            </w:r>
          </w:p>
        </w:tc>
        <w:tc>
          <w:tcPr>
            <w:shd w:fill="c0e6f5" w:val="clear"/>
            <w:vAlign w:val="center"/>
          </w:tcPr>
          <w:p w:rsidR="00000000" w:rsidDel="00000000" w:rsidP="00000000" w:rsidRDefault="00000000" w:rsidRPr="00000000" w14:paraId="00000050">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106</w:t>
            </w:r>
          </w:p>
        </w:tc>
        <w:tc>
          <w:tcPr>
            <w:shd w:fill="c0e6f5" w:val="clear"/>
            <w:vAlign w:val="center"/>
          </w:tcPr>
          <w:p w:rsidR="00000000" w:rsidDel="00000000" w:rsidP="00000000" w:rsidRDefault="00000000" w:rsidRPr="00000000" w14:paraId="00000051">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87</w:t>
            </w:r>
          </w:p>
        </w:tc>
        <w:tc>
          <w:tcPr>
            <w:shd w:fill="c0e6f5" w:val="clear"/>
            <w:vAlign w:val="center"/>
          </w:tcPr>
          <w:p w:rsidR="00000000" w:rsidDel="00000000" w:rsidP="00000000" w:rsidRDefault="00000000" w:rsidRPr="00000000" w14:paraId="00000052">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119</w:t>
            </w:r>
          </w:p>
        </w:tc>
        <w:tc>
          <w:tcPr>
            <w:shd w:fill="c0e6f5" w:val="clear"/>
            <w:vAlign w:val="center"/>
          </w:tcPr>
          <w:p w:rsidR="00000000" w:rsidDel="00000000" w:rsidP="00000000" w:rsidRDefault="00000000" w:rsidRPr="00000000" w14:paraId="00000053">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25</w:t>
            </w:r>
          </w:p>
        </w:tc>
        <w:tc>
          <w:tcPr>
            <w:shd w:fill="c0e6f5" w:val="clear"/>
            <w:vAlign w:val="center"/>
          </w:tcPr>
          <w:p w:rsidR="00000000" w:rsidDel="00000000" w:rsidP="00000000" w:rsidRDefault="00000000" w:rsidRPr="00000000" w14:paraId="00000054">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48</w:t>
            </w:r>
          </w:p>
        </w:tc>
        <w:tc>
          <w:tcPr>
            <w:shd w:fill="c0e6f5" w:val="clear"/>
            <w:vAlign w:val="center"/>
          </w:tcPr>
          <w:p w:rsidR="00000000" w:rsidDel="00000000" w:rsidP="00000000" w:rsidRDefault="00000000" w:rsidRPr="00000000" w14:paraId="00000055">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14</w:t>
            </w:r>
          </w:p>
        </w:tc>
        <w:tc>
          <w:tcPr>
            <w:shd w:fill="c0e6f5" w:val="clear"/>
            <w:vAlign w:val="center"/>
          </w:tcPr>
          <w:p w:rsidR="00000000" w:rsidDel="00000000" w:rsidP="00000000" w:rsidRDefault="00000000" w:rsidRPr="00000000" w14:paraId="00000056">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5</w:t>
            </w:r>
          </w:p>
        </w:tc>
        <w:tc>
          <w:tcPr>
            <w:shd w:fill="c0e6f5" w:val="clear"/>
            <w:vAlign w:val="center"/>
          </w:tcPr>
          <w:p w:rsidR="00000000" w:rsidDel="00000000" w:rsidP="00000000" w:rsidRDefault="00000000" w:rsidRPr="00000000" w14:paraId="00000057">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3</w:t>
            </w:r>
          </w:p>
        </w:tc>
        <w:tc>
          <w:tcPr>
            <w:shd w:fill="c0e6f5" w:val="clear"/>
            <w:vAlign w:val="center"/>
          </w:tcPr>
          <w:p w:rsidR="00000000" w:rsidDel="00000000" w:rsidP="00000000" w:rsidRDefault="00000000" w:rsidRPr="00000000" w14:paraId="00000058">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2</w:t>
            </w:r>
          </w:p>
        </w:tc>
        <w:tc>
          <w:tcPr>
            <w:shd w:fill="c0e6f5" w:val="clear"/>
            <w:vAlign w:val="center"/>
          </w:tcPr>
          <w:p w:rsidR="00000000" w:rsidDel="00000000" w:rsidP="00000000" w:rsidRDefault="00000000" w:rsidRPr="00000000" w14:paraId="00000059">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3</w:t>
            </w:r>
          </w:p>
        </w:tc>
        <w:tc>
          <w:tcPr>
            <w:shd w:fill="c0e6f5" w:val="clear"/>
            <w:vAlign w:val="center"/>
          </w:tcPr>
          <w:p w:rsidR="00000000" w:rsidDel="00000000" w:rsidP="00000000" w:rsidRDefault="00000000" w:rsidRPr="00000000" w14:paraId="0000005A">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412</w:t>
            </w:r>
          </w:p>
        </w:tc>
      </w:tr>
      <w:tr>
        <w:trPr>
          <w:cantSplit w:val="0"/>
          <w:trHeight w:val="660" w:hRule="atLeast"/>
          <w:tblHeader w:val="0"/>
        </w:trPr>
        <w:tc>
          <w:tcPr>
            <w:vAlign w:val="center"/>
          </w:tcPr>
          <w:p w:rsidR="00000000" w:rsidDel="00000000" w:rsidP="00000000" w:rsidRDefault="00000000" w:rsidRPr="00000000" w14:paraId="0000005B">
            <w:pP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Subdirección de Silvicultura, Flora y Fauna Silvestre </w:t>
            </w:r>
            <w:r w:rsidDel="00000000" w:rsidR="00000000" w:rsidRPr="00000000">
              <w:rPr>
                <w:rFonts w:ascii="Aptos Narrow" w:cs="Aptos Narrow" w:eastAsia="Aptos Narrow" w:hAnsi="Aptos Narrow"/>
                <w:sz w:val="18"/>
                <w:szCs w:val="18"/>
                <w:rtl w:val="0"/>
              </w:rPr>
              <w:t xml:space="preserve">(</w:t>
            </w:r>
            <w:r w:rsidDel="00000000" w:rsidR="00000000" w:rsidRPr="00000000">
              <w:rPr>
                <w:rFonts w:ascii="Aptos Narrow" w:cs="Aptos Narrow" w:eastAsia="Aptos Narrow" w:hAnsi="Aptos Narrow"/>
                <w:color w:val="000000"/>
                <w:sz w:val="18"/>
                <w:szCs w:val="18"/>
                <w:rtl w:val="0"/>
              </w:rPr>
              <w:t xml:space="preserve">SSFFS)</w:t>
            </w:r>
          </w:p>
        </w:tc>
        <w:tc>
          <w:tcPr>
            <w:vAlign w:val="center"/>
          </w:tcPr>
          <w:p w:rsidR="00000000" w:rsidDel="00000000" w:rsidP="00000000" w:rsidRDefault="00000000" w:rsidRPr="00000000" w14:paraId="0000005C">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901</w:t>
            </w:r>
          </w:p>
        </w:tc>
        <w:tc>
          <w:tcPr>
            <w:vAlign w:val="center"/>
          </w:tcPr>
          <w:p w:rsidR="00000000" w:rsidDel="00000000" w:rsidP="00000000" w:rsidRDefault="00000000" w:rsidRPr="00000000" w14:paraId="0000005D">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400</w:t>
            </w:r>
          </w:p>
        </w:tc>
        <w:tc>
          <w:tcPr>
            <w:vAlign w:val="center"/>
          </w:tcPr>
          <w:p w:rsidR="00000000" w:rsidDel="00000000" w:rsidP="00000000" w:rsidRDefault="00000000" w:rsidRPr="00000000" w14:paraId="0000005E">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227</w:t>
            </w:r>
          </w:p>
        </w:tc>
        <w:tc>
          <w:tcPr>
            <w:vAlign w:val="center"/>
          </w:tcPr>
          <w:p w:rsidR="00000000" w:rsidDel="00000000" w:rsidP="00000000" w:rsidRDefault="00000000" w:rsidRPr="00000000" w14:paraId="0000005F">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148</w:t>
            </w:r>
          </w:p>
        </w:tc>
        <w:tc>
          <w:tcPr>
            <w:vAlign w:val="center"/>
          </w:tcPr>
          <w:p w:rsidR="00000000" w:rsidDel="00000000" w:rsidP="00000000" w:rsidRDefault="00000000" w:rsidRPr="00000000" w14:paraId="00000060">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168</w:t>
            </w:r>
          </w:p>
        </w:tc>
        <w:tc>
          <w:tcPr>
            <w:vAlign w:val="center"/>
          </w:tcPr>
          <w:p w:rsidR="00000000" w:rsidDel="00000000" w:rsidP="00000000" w:rsidRDefault="00000000" w:rsidRPr="00000000" w14:paraId="00000061">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24</w:t>
            </w:r>
          </w:p>
        </w:tc>
        <w:tc>
          <w:tcPr>
            <w:vAlign w:val="center"/>
          </w:tcPr>
          <w:p w:rsidR="00000000" w:rsidDel="00000000" w:rsidP="00000000" w:rsidRDefault="00000000" w:rsidRPr="00000000" w14:paraId="00000062">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11</w:t>
            </w:r>
          </w:p>
        </w:tc>
        <w:tc>
          <w:tcPr>
            <w:vAlign w:val="center"/>
          </w:tcPr>
          <w:p w:rsidR="00000000" w:rsidDel="00000000" w:rsidP="00000000" w:rsidRDefault="00000000" w:rsidRPr="00000000" w14:paraId="00000063">
            <w:pPr>
              <w:jc w:val="center"/>
              <w:rPr>
                <w:rFonts w:ascii="Aptos Narrow" w:cs="Aptos Narrow" w:eastAsia="Aptos Narrow" w:hAnsi="Aptos Narrow"/>
                <w:color w:val="000000"/>
                <w:sz w:val="18"/>
                <w:szCs w:val="18"/>
              </w:rPr>
            </w:pPr>
            <w:r w:rsidDel="00000000" w:rsidR="00000000" w:rsidRPr="00000000">
              <w:rPr>
                <w:rFonts w:ascii="Aptos Narrow" w:cs="Aptos Narrow" w:eastAsia="Aptos Narrow" w:hAnsi="Aptos Narrow"/>
                <w:color w:val="000000"/>
                <w:sz w:val="18"/>
                <w:szCs w:val="18"/>
                <w:rtl w:val="0"/>
              </w:rPr>
              <w:t xml:space="preserve">5</w:t>
            </w:r>
          </w:p>
        </w:tc>
        <w:tc>
          <w:tcPr>
            <w:vAlign w:val="center"/>
          </w:tcPr>
          <w:p w:rsidR="00000000" w:rsidDel="00000000" w:rsidP="00000000" w:rsidRDefault="00000000" w:rsidRPr="00000000" w14:paraId="00000064">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w:t>
            </w:r>
          </w:p>
        </w:tc>
        <w:tc>
          <w:tcPr>
            <w:vAlign w:val="center"/>
          </w:tcPr>
          <w:p w:rsidR="00000000" w:rsidDel="00000000" w:rsidP="00000000" w:rsidRDefault="00000000" w:rsidRPr="00000000" w14:paraId="00000065">
            <w:pPr>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3</w:t>
            </w:r>
          </w:p>
        </w:tc>
        <w:tc>
          <w:tcPr>
            <w:shd w:fill="c0e6f5" w:val="clear"/>
            <w:vAlign w:val="center"/>
          </w:tcPr>
          <w:p w:rsidR="00000000" w:rsidDel="00000000" w:rsidP="00000000" w:rsidRDefault="00000000" w:rsidRPr="00000000" w14:paraId="00000066">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1895</w:t>
            </w:r>
          </w:p>
        </w:tc>
      </w:tr>
      <w:tr>
        <w:trPr>
          <w:cantSplit w:val="0"/>
          <w:trHeight w:val="300" w:hRule="atLeast"/>
          <w:tblHeader w:val="0"/>
        </w:trPr>
        <w:tc>
          <w:tcPr>
            <w:shd w:fill="c0e6f5" w:val="clear"/>
            <w:vAlign w:val="center"/>
          </w:tcPr>
          <w:p w:rsidR="00000000" w:rsidDel="00000000" w:rsidP="00000000" w:rsidRDefault="00000000" w:rsidRPr="00000000" w14:paraId="00000067">
            <w:pP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Total general</w:t>
            </w:r>
          </w:p>
        </w:tc>
        <w:tc>
          <w:tcPr>
            <w:shd w:fill="c0e6f5" w:val="clear"/>
            <w:vAlign w:val="center"/>
          </w:tcPr>
          <w:p w:rsidR="00000000" w:rsidDel="00000000" w:rsidP="00000000" w:rsidRDefault="00000000" w:rsidRPr="00000000" w14:paraId="00000068">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1670</w:t>
            </w:r>
          </w:p>
        </w:tc>
        <w:tc>
          <w:tcPr>
            <w:shd w:fill="c0e6f5" w:val="clear"/>
            <w:vAlign w:val="center"/>
          </w:tcPr>
          <w:p w:rsidR="00000000" w:rsidDel="00000000" w:rsidP="00000000" w:rsidRDefault="00000000" w:rsidRPr="00000000" w14:paraId="00000069">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1087</w:t>
            </w:r>
          </w:p>
        </w:tc>
        <w:tc>
          <w:tcPr>
            <w:shd w:fill="c0e6f5" w:val="clear"/>
            <w:vAlign w:val="center"/>
          </w:tcPr>
          <w:p w:rsidR="00000000" w:rsidDel="00000000" w:rsidP="00000000" w:rsidRDefault="00000000" w:rsidRPr="00000000" w14:paraId="0000006A">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630</w:t>
            </w:r>
          </w:p>
        </w:tc>
        <w:tc>
          <w:tcPr>
            <w:shd w:fill="c0e6f5" w:val="clear"/>
            <w:vAlign w:val="center"/>
          </w:tcPr>
          <w:p w:rsidR="00000000" w:rsidDel="00000000" w:rsidP="00000000" w:rsidRDefault="00000000" w:rsidRPr="00000000" w14:paraId="0000006B">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504</w:t>
            </w:r>
          </w:p>
        </w:tc>
        <w:tc>
          <w:tcPr>
            <w:shd w:fill="c0e6f5" w:val="clear"/>
            <w:vAlign w:val="center"/>
          </w:tcPr>
          <w:p w:rsidR="00000000" w:rsidDel="00000000" w:rsidP="00000000" w:rsidRDefault="00000000" w:rsidRPr="00000000" w14:paraId="0000006C">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297</w:t>
            </w:r>
          </w:p>
        </w:tc>
        <w:tc>
          <w:tcPr>
            <w:shd w:fill="c0e6f5" w:val="clear"/>
            <w:vAlign w:val="center"/>
          </w:tcPr>
          <w:p w:rsidR="00000000" w:rsidDel="00000000" w:rsidP="00000000" w:rsidRDefault="00000000" w:rsidRPr="00000000" w14:paraId="0000006D">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72</w:t>
            </w:r>
          </w:p>
        </w:tc>
        <w:tc>
          <w:tcPr>
            <w:shd w:fill="c0e6f5" w:val="clear"/>
            <w:vAlign w:val="center"/>
          </w:tcPr>
          <w:p w:rsidR="00000000" w:rsidDel="00000000" w:rsidP="00000000" w:rsidRDefault="00000000" w:rsidRPr="00000000" w14:paraId="0000006E">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23</w:t>
            </w:r>
          </w:p>
        </w:tc>
        <w:tc>
          <w:tcPr>
            <w:shd w:fill="c0e6f5" w:val="clear"/>
            <w:vAlign w:val="center"/>
          </w:tcPr>
          <w:p w:rsidR="00000000" w:rsidDel="00000000" w:rsidP="00000000" w:rsidRDefault="00000000" w:rsidRPr="00000000" w14:paraId="0000006F">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11</w:t>
            </w:r>
          </w:p>
        </w:tc>
        <w:tc>
          <w:tcPr>
            <w:shd w:fill="c0e6f5" w:val="clear"/>
            <w:vAlign w:val="center"/>
          </w:tcPr>
          <w:p w:rsidR="00000000" w:rsidDel="00000000" w:rsidP="00000000" w:rsidRDefault="00000000" w:rsidRPr="00000000" w14:paraId="00000070">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14</w:t>
            </w:r>
          </w:p>
        </w:tc>
        <w:tc>
          <w:tcPr>
            <w:shd w:fill="c0e6f5" w:val="clear"/>
            <w:vAlign w:val="center"/>
          </w:tcPr>
          <w:p w:rsidR="00000000" w:rsidDel="00000000" w:rsidP="00000000" w:rsidRDefault="00000000" w:rsidRPr="00000000" w14:paraId="00000071">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6</w:t>
            </w:r>
          </w:p>
        </w:tc>
        <w:tc>
          <w:tcPr>
            <w:shd w:fill="c0e6f5" w:val="clear"/>
            <w:vAlign w:val="center"/>
          </w:tcPr>
          <w:p w:rsidR="00000000" w:rsidDel="00000000" w:rsidP="00000000" w:rsidRDefault="00000000" w:rsidRPr="00000000" w14:paraId="00000072">
            <w:pPr>
              <w:jc w:val="center"/>
              <w:rPr>
                <w:rFonts w:ascii="Aptos Narrow" w:cs="Aptos Narrow" w:eastAsia="Aptos Narrow" w:hAnsi="Aptos Narrow"/>
                <w:b w:val="1"/>
                <w:color w:val="000000"/>
                <w:sz w:val="18"/>
                <w:szCs w:val="18"/>
              </w:rPr>
            </w:pPr>
            <w:r w:rsidDel="00000000" w:rsidR="00000000" w:rsidRPr="00000000">
              <w:rPr>
                <w:rFonts w:ascii="Aptos Narrow" w:cs="Aptos Narrow" w:eastAsia="Aptos Narrow" w:hAnsi="Aptos Narrow"/>
                <w:b w:val="1"/>
                <w:color w:val="000000"/>
                <w:sz w:val="18"/>
                <w:szCs w:val="18"/>
                <w:rtl w:val="0"/>
              </w:rPr>
              <w:t xml:space="preserve">4314</w:t>
            </w:r>
          </w:p>
        </w:tc>
      </w:tr>
    </w:tbl>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A continuación, se explican las cifras reportadas, considerando su peso relativo frente al total y los retos asociados en términos de volumen y gestión administrativa.</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La </w:t>
      </w:r>
      <w:r w:rsidDel="00000000" w:rsidR="00000000" w:rsidRPr="00000000">
        <w:rPr>
          <w:b w:val="1"/>
          <w:rtl w:val="0"/>
        </w:rPr>
        <w:t xml:space="preserve">Subdirección de Silvicultura, Flora y Fauna Silvestre (SSFFS)</w:t>
      </w:r>
      <w:r w:rsidDel="00000000" w:rsidR="00000000" w:rsidRPr="00000000">
        <w:rPr>
          <w:rtl w:val="0"/>
        </w:rPr>
        <w:t xml:space="preserve"> concentra la mayor carga procesal, con </w:t>
      </w:r>
      <w:r w:rsidDel="00000000" w:rsidR="00000000" w:rsidRPr="00000000">
        <w:rPr>
          <w:b w:val="1"/>
          <w:rtl w:val="0"/>
        </w:rPr>
        <w:t xml:space="preserve">1.895 expedientes pendientes</w:t>
      </w:r>
      <w:r w:rsidDel="00000000" w:rsidR="00000000" w:rsidRPr="00000000">
        <w:rPr>
          <w:rtl w:val="0"/>
        </w:rPr>
        <w:t xml:space="preserve">, que equivalen aproximadamente al </w:t>
      </w:r>
      <w:r w:rsidDel="00000000" w:rsidR="00000000" w:rsidRPr="00000000">
        <w:rPr>
          <w:b w:val="1"/>
          <w:rtl w:val="0"/>
        </w:rPr>
        <w:t xml:space="preserve">43,9%</w:t>
      </w:r>
      <w:r w:rsidDel="00000000" w:rsidR="00000000" w:rsidRPr="00000000">
        <w:rPr>
          <w:rtl w:val="0"/>
        </w:rPr>
        <w:t xml:space="preserve"> del total general. Esta cifra refleja la complejidad del sancionatorio frente a actividades relacionadas con aprovechamiento forestal, tráfico ilegal de fauna y flora, y afectaciones ecosistémicas de origen antrópico, situaciones que han generado una acumulación significativa de procedimientos sancionatorios a lo largo del tiempo. La distribución anual evidencia que la mayor concentración se encuentra en los expedientes con 10 y 11 años de antigüedad, aunque también se reportan casos con más de 15 años sin resolución definitiva. </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Uno de los factores determinantes que inciden directamente en la eficiencia procesal y la solidez jurídica del procedimiento sancionatorio ambiental es la adecuada individualización del presunto infractor desde las etapas tempranas del trámite administrativo, particularmente durante la elaboración y notificación del acto de apertura de investigación y, de manera crítica, hasta el momento de proceder a la formulación de cargos.</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La omisión o deficiencia en esta individualización fundamental puede acarrear consecuencias jurídicas y procesales de considerable gravedad. Estas consecuencias incluyen dificultades probatorias insalvables, que comprometen la demostración de la responsabilidad; dilaciones injustificadas, que afectan la celeridad del procedimiento y pueden generar el vencimiento de términos procesales, y, en los casos más críticos, la necesidad imperativa de reponer actuaciones procesales ya surtidas o declarar nulidades de pleno derecho, que comprometen definitivamente la eficacia de la función administrativa sancionadora y pueden resultar en la pérdida total del proceso.</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Dicho de otro modo, estas deficiencias en la individualización pueden manifestarse en diversas formas, desde la identificación incorrecta de la razón social o denominación del sujeto investigado, pasando por la confusión en la determinación del representante legal competente, hasta la atribución errónea de responsabilidades a personas naturales o jurídicas que no ostentan la calidad de ejecutores materiales de la conducta investigada o de responsables legales de la actividad que genera la presunta infracción ambiental.</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En segundo lugar se encuentra la </w:t>
      </w:r>
      <w:r w:rsidDel="00000000" w:rsidR="00000000" w:rsidRPr="00000000">
        <w:rPr>
          <w:b w:val="1"/>
          <w:rtl w:val="0"/>
        </w:rPr>
        <w:t xml:space="preserve">Subdirección de Calidad del Aire, Auditiva y Visual (SCAAV)</w:t>
      </w:r>
      <w:r w:rsidDel="00000000" w:rsidR="00000000" w:rsidRPr="00000000">
        <w:rPr>
          <w:rtl w:val="0"/>
        </w:rPr>
        <w:t xml:space="preserve">, con un total de </w:t>
      </w:r>
      <w:r w:rsidDel="00000000" w:rsidR="00000000" w:rsidRPr="00000000">
        <w:rPr>
          <w:b w:val="1"/>
          <w:rtl w:val="0"/>
        </w:rPr>
        <w:t xml:space="preserve">1.778 expedientes</w:t>
      </w:r>
      <w:r w:rsidDel="00000000" w:rsidR="00000000" w:rsidRPr="00000000">
        <w:rPr>
          <w:rtl w:val="0"/>
        </w:rPr>
        <w:t xml:space="preserve">, que representan el </w:t>
      </w:r>
      <w:r w:rsidDel="00000000" w:rsidR="00000000" w:rsidRPr="00000000">
        <w:rPr>
          <w:b w:val="1"/>
          <w:rtl w:val="0"/>
        </w:rPr>
        <w:t xml:space="preserve">41,2%</w:t>
      </w:r>
      <w:r w:rsidDel="00000000" w:rsidR="00000000" w:rsidRPr="00000000">
        <w:rPr>
          <w:rtl w:val="0"/>
        </w:rPr>
        <w:t xml:space="preserve"> del total de casos en trámite. Este volumen está asociado al seguimiento de fuentes fijas de emisión, contaminación visual y ruido ambiental, principalmente por actividades industriales y comerciales en el área urbana. Al igual que en la SSFFS, se observa un incremento en los casos más recientes (10 a 13 años), aunque también subsisten expedientes con más de 15 años de antigüedad que requieren depuración o decisión de fondo.</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 xml:space="preserve">La </w:t>
      </w:r>
      <w:r w:rsidDel="00000000" w:rsidR="00000000" w:rsidRPr="00000000">
        <w:rPr>
          <w:b w:val="1"/>
          <w:rtl w:val="0"/>
        </w:rPr>
        <w:t xml:space="preserve">Subdirección del Recurso Hídrico y del Suelo (SRHS)</w:t>
      </w:r>
      <w:r w:rsidDel="00000000" w:rsidR="00000000" w:rsidRPr="00000000">
        <w:rPr>
          <w:rtl w:val="0"/>
        </w:rPr>
        <w:t xml:space="preserve"> reporta </w:t>
      </w:r>
      <w:r w:rsidDel="00000000" w:rsidR="00000000" w:rsidRPr="00000000">
        <w:rPr>
          <w:b w:val="1"/>
          <w:rtl w:val="0"/>
        </w:rPr>
        <w:t xml:space="preserve">412 expedientes pendientes</w:t>
      </w:r>
      <w:r w:rsidDel="00000000" w:rsidR="00000000" w:rsidRPr="00000000">
        <w:rPr>
          <w:rtl w:val="0"/>
        </w:rPr>
        <w:t xml:space="preserve">, es decir, el </w:t>
      </w:r>
      <w:r w:rsidDel="00000000" w:rsidR="00000000" w:rsidRPr="00000000">
        <w:rPr>
          <w:b w:val="1"/>
          <w:rtl w:val="0"/>
        </w:rPr>
        <w:t xml:space="preserve">9,5%</w:t>
      </w:r>
      <w:r w:rsidDel="00000000" w:rsidR="00000000" w:rsidRPr="00000000">
        <w:rPr>
          <w:rtl w:val="0"/>
        </w:rPr>
        <w:t xml:space="preserve"> del total. Su carga está asociada al control de vertimientos, de captaciones sin autorización, de afectación de rondas hídricas y de otras infracciones relacionadas con el uso y ocupación indebida del recurso hídrico y del suelo. Aunque la SRHS maneja un volumen menor que las anteriores, se destacan casos de alta complejidad técnica y jurídica, algunos con más de 16 años de antigüedad, que exigen decisiones prontas para evitar la consolidación de daños ambientales irreversibles.</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t xml:space="preserve">Por último, la </w:t>
      </w:r>
      <w:r w:rsidDel="00000000" w:rsidR="00000000" w:rsidRPr="00000000">
        <w:rPr>
          <w:b w:val="1"/>
          <w:rtl w:val="0"/>
        </w:rPr>
        <w:t xml:space="preserve">Subdirección de Control Ambiental al Sector Público (SCASP)</w:t>
      </w:r>
      <w:r w:rsidDel="00000000" w:rsidR="00000000" w:rsidRPr="00000000">
        <w:rPr>
          <w:rtl w:val="0"/>
        </w:rPr>
        <w:t xml:space="preserve"> presenta el menor volumen, con </w:t>
      </w:r>
      <w:r w:rsidDel="00000000" w:rsidR="00000000" w:rsidRPr="00000000">
        <w:rPr>
          <w:b w:val="1"/>
          <w:rtl w:val="0"/>
        </w:rPr>
        <w:t xml:space="preserve">229 expedientes</w:t>
      </w:r>
      <w:r w:rsidDel="00000000" w:rsidR="00000000" w:rsidRPr="00000000">
        <w:rPr>
          <w:rtl w:val="0"/>
        </w:rPr>
        <w:t xml:space="preserve">, correspondientes al </w:t>
      </w:r>
      <w:r w:rsidDel="00000000" w:rsidR="00000000" w:rsidRPr="00000000">
        <w:rPr>
          <w:b w:val="1"/>
          <w:rtl w:val="0"/>
        </w:rPr>
        <w:t xml:space="preserve">5,3%</w:t>
      </w:r>
      <w:r w:rsidDel="00000000" w:rsidR="00000000" w:rsidRPr="00000000">
        <w:rPr>
          <w:rtl w:val="0"/>
        </w:rPr>
        <w:t xml:space="preserve"> del total. Su competencia se centra en el control de obras y actividades ejecutadas por entidades públicas o contratistas estatales que impactan el medioambiente, como proyectos de infraestructura vial, hidráulica, equipamientos y urbanismo. Aunque su carga es significativamente menor, estos expedientes suelen implicar actores institucionales, que tienen implicaciones jurídicas y administrativas de mayor repercusión, por lo cual su tratamiento también requiere una estrategia específica de gestión y priorización.</w:t>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Estos resultados evidencian la necesidad de implementar estrategias de priorización y resolución efectiva de los procesos, para garantizar que las decisiones sancionatorias sean ejecutadas dentro de los plazos establecidos. Asimismo, es necesario fortalecer la capacidad operativa jurídica y técnica de la Dirección de Control Ambiental, con base en los temas propios de cada una de las subdirecciones con mayor acumulación de expedientes, optimizar los procedimientos internos y aplicar herramientas de seguimiento que permitan avanzar de manera estructurada en la descongestión del sistema sancionatorio ambiental.</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Con base en lo anterior, la estrategia se basa en tres enfoques clave.</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Priorización según antigüedad y estado del expediente</w:t>
      </w: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Los abogados ejecutores deben considerar el estado procesal del expediente sancionatorio, dado que la carga y el tiempo requerido varían en función de la fase en la que se encuentre el caso.</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t xml:space="preserve">Las siguientes directrices, encaminadas a gestionar los expedientes de manera efectiva, formarán parte de la estrategia:</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Expedientes en fase inicial (inicio del procedimiento o formulación de cargos)</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Verificar si existen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pruebas suficientes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para continuar el trámite sancionatorio</w:t>
      </w:r>
      <w:r w:rsidDel="00000000" w:rsidR="00000000" w:rsidRPr="00000000">
        <w:rPr>
          <w:rtl w:val="0"/>
        </w:rPr>
        <w:t xml:space="preserve"> 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identifica</w:t>
      </w:r>
      <w:r w:rsidDel="00000000" w:rsidR="00000000" w:rsidRPr="00000000">
        <w:rPr>
          <w:rtl w:val="0"/>
        </w:rPr>
        <w:t xml:space="preserve">r si hay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causales de archivo o cesación.</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Priorizar aquellos casos en los que haya pruebas completas y evidencias contundentes.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Tiempos estimados: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3 a 5 semanas por expediente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para definir su continuidad.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Expedientes en etapa de pruebas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Evaluar la pertinencia de las pruebas allegadas.</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Identificar procedimientos con pruebas decretadas sin practicar aún, para programar su práctica.</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 expedientes con pruebas, proceder a la evaluación y análisis para proyectar el acto administrativo de traslado de alegatos.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t xml:space="preserve">Tiempos estimados: </w:t>
      </w:r>
      <w:r w:rsidDel="00000000" w:rsidR="00000000" w:rsidRPr="00000000">
        <w:rPr>
          <w:b w:val="1"/>
          <w:i w:val="0"/>
          <w:smallCaps w:val="0"/>
          <w:strike w:val="0"/>
          <w:color w:val="000000"/>
          <w:sz w:val="24"/>
          <w:szCs w:val="24"/>
          <w:u w:val="none"/>
          <w:shd w:fill="auto" w:val="clear"/>
          <w:vertAlign w:val="baseline"/>
          <w:rtl w:val="0"/>
        </w:rPr>
        <w:t xml:space="preserve">3 a 5 semanas por expediente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Expedientes en fase de alegatos de conclusión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Revis</w:t>
      </w:r>
      <w:r w:rsidDel="00000000" w:rsidR="00000000" w:rsidRPr="00000000">
        <w:rPr>
          <w:rtl w:val="0"/>
        </w:rPr>
        <w:t xml:space="preserve">ar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los alegatos presentados por los presuntos infractores.</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tl w:val="0"/>
        </w:rPr>
        <w:t xml:space="preserve">Priorizar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aquellos expedientes con argumentación consolidada para solicitud de Informe Técnico de Criterios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ITC).</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Tiempos estimados: </w:t>
      </w:r>
      <w:r w:rsidDel="00000000" w:rsidR="00000000" w:rsidRPr="00000000">
        <w:rPr>
          <w:b w:val="1"/>
          <w:i w:val="0"/>
          <w:smallCaps w:val="0"/>
          <w:strike w:val="0"/>
          <w:color w:val="000000"/>
          <w:sz w:val="24"/>
          <w:szCs w:val="24"/>
          <w:u w:val="none"/>
          <w:shd w:fill="auto" w:val="clear"/>
          <w:vertAlign w:val="baseline"/>
          <w:rtl w:val="0"/>
        </w:rPr>
        <w:t xml:space="preserve">4 a 6 semanas por expediente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contemplando la expedición del ITC.</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Expedientes en fase de decisión sancionatoria</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tl w:val="0"/>
        </w:rPr>
        <w:t xml:space="preserve">Proyectar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 resolución de sanción o exoneración, según corresponda.</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tl w:val="0"/>
        </w:rPr>
        <w:t xml:space="preserve">Agilizar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 elaboración del acto administrativo para evitar represamientos en esta fase.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Tiempo estimado: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3 a 6 semanas por expediente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Expedientes en recurso de reposición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tl w:val="0"/>
        </w:rPr>
        <w:t xml:space="preserve">Establecer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equipos técnico-jurídicos, </w:t>
      </w:r>
      <w:r w:rsidDel="00000000" w:rsidR="00000000" w:rsidRPr="00000000">
        <w:rPr>
          <w:rtl w:val="0"/>
        </w:rPr>
        <w:t xml:space="preserve">que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 encargarán de evacuar estas solicitudes en el menor tiempo posible.</w:t>
      </w:r>
    </w:p>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tl w:val="0"/>
        </w:rPr>
        <w:t xml:space="preserve">Priorizar los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expedientes que ya cuenten con conceptos jurídicos previos o criterios unificados para la toma de decisiones.</w:t>
      </w:r>
    </w:p>
    <w:p w:rsidR="00000000" w:rsidDel="00000000" w:rsidP="00000000" w:rsidRDefault="00000000" w:rsidRPr="00000000" w14:paraId="000000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pPr>
      <w:r w:rsidDel="00000000" w:rsidR="00000000" w:rsidRPr="00000000">
        <w:rPr>
          <w:rtl w:val="0"/>
        </w:rPr>
        <w:t xml:space="preserve">Proyectar y revisar 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 resoluciones que resuelvan recursos de reposición, conjuntamente entre técnicos y abogados, cuando haya argumentos técnicos en el debate.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Tiempos estimados: </w:t>
      </w:r>
      <w:r w:rsidDel="00000000" w:rsidR="00000000" w:rsidRPr="00000000">
        <w:rPr>
          <w:b w:val="1"/>
          <w:rtl w:val="0"/>
        </w:rPr>
        <w:t xml:space="preserve">5 a 6 semanas</w:t>
      </w:r>
      <w:r w:rsidDel="00000000" w:rsidR="00000000" w:rsidRPr="00000000">
        <w:rPr>
          <w:rtl w:val="0"/>
        </w:rPr>
        <w:t xml:space="preserve"> para la resolución de cada recurso.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Expedientes que requieran actuaciones jurídicas previas al impulso decisorio como análisis de validez en las notificaciones, revisión del régimen de transición aplicable, requerimientos de información adicional o acciones de saneamiento procesal.</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b w:val="1"/>
        </w:rPr>
      </w:pPr>
      <w:r w:rsidDel="00000000" w:rsidR="00000000" w:rsidRPr="00000000">
        <w:rPr>
          <w:b w:val="1"/>
          <w:rtl w:val="0"/>
        </w:rPr>
        <w:t xml:space="preserve">Terminación anticipada del procedimiento sancionatorio (archivo y cesación)</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Es importante exponer que el archivo definitivo constituye una decisión administrativa que se adopta al culminar la etapa de indagación preliminar, según lo dispuesto en el artículo 17, de la Ley 1333. Esta figura procede cuando, después de realizar las verificaciones correspondientes durante la indagación preliminar, la autoridad ambiental concluye que no existe mérito suficiente para dar inicio formal al procedimiento sancionatorio.</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t xml:space="preserve">La indagación preliminar tiene como finalidad verificar la ocurrencia de la conducta investigada, determinar si efectivamente constituye una infracción ambiental o establecer si el presunto infractor actuó al amparo de alguna causal eximente de responsabilidad. Esta etapa tiene un término máximo de seis meses, al final del cual la autoridad debe adoptar una de dos decisiones: el archivo definitivo del caso o la expedición del auto de apertura de la investigación formal.</w:t>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t xml:space="preserve">El archivo definitivo opera cuando las pruebas recaudadas durante la indagación preliminar resultan insuficientes para demostrar la configuración de una infracción ambiental, cuando los hechos investigados no encuadran dentro de las conductas tipificadas como infracciones por la normatividad ambiental, o cuando se establece que el investigado actuó amparado en alguna de las causales eximentes de responsabilidad contempladas en el artículo 8 de la ley.</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t xml:space="preserve">Por su parte, la cesación del procedimiento representa una figura distinta que opera una vez ha iniciado formalmente el procedimiento sancionatorio, pero antes de la formulación de cargos. El artículo 9 de la Ley 1333 establece taxativamente las causales que dan lugar a esta figura, mientras que el artículo 23 regula el momento procesal y las formalidades para su declaratoria.</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t xml:space="preserve">La primera causal de cesación se presenta cuando ocurre la muerte del investigado, cuando se trata de una persona natural, o la liquidación definitiva de la persona jurídica investigada. En este último caso, el artículo 9-A establece obligaciones específicas relacionadas con la constitución de garantías, que amparen el pago de las obligaciones generadas o que puedan llegar a generarse como consecuencia del procedimiento sancionatorio.</w:t>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t xml:space="preserve">La segunda causal opera cuando se determina de manera plena que el hecho objeto de investigación no constituye una infracción ambiental. Esta situación puede presentarse cuando, durante el desarrollo de la investigación, se establece que la conducta investigada no está tipificada como infracción en la normatividad ambiental vigente o los elementos fácticos no configuran los supuestos necesarios para la configuración de la infracción.</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La tercera causal procede cuando se demuestra que la conducta investigada no es imputable al presunto infractor. Esta situación puede darse cuando se establece que otra persona fue quien realmente ejecutó la conducta investigada o cuando se determina que el investigado no tenía la calidad, competencia o responsabilidad legal que le permita ser sujeto de la sanción ambiental.</w:t>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Finalmente, la cuarta causal se configura cuando se establece que la actividad objeto de investigación se encuentra legalmente amparada o autorizada por la autoridad competente. Esta situación implica que el investigado contaba con los permisos, licencias, autorizaciones o instrumentos de manejo ambiental vigentes y aplicables para el desarrollo de la actividad que inicialmente se consideró como infractora.</w:t>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Las diferencias entre ambas figuras trascienden sus causales específicas y se extienden a aspectos procesales fundamentales. El archivo definitivo se produce al culminar la indagación preliminar, es decir, antes del inicio formal del procedimiento sancionatorio, mientras que la cesación del procedimiento opera una vez iniciada formalmente la investigación, pero necesariamente antes de la formulación de cargos, salvo en el caso excepcional del fallecimiento del infractor.</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Ambas decisiones deben adoptarse mediante acto administrativo debidamente motivado, en el cual la autoridad ambiental debe exponer de manera clara y suficiente las razones fácticas y jurídicas que sustentan su determinación. En el caso de la cesación del procedimiento, el artículo 23 establece expresamente que dicho acto debe ser notificado al investigado y publicado conforme a lo dispuesto en el artículo 71 de la Ley 99 de 1993.</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Carga de trabajo estimada por abogado</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 el propósito de estructurar una estrategia de descongestión realista, que asegure la calidad jurídica de los actos administrativos expedidos y respete la capacidad operativa del equipo humano disponible, se ha proyectado la carga de trabajo semanal conforme a los siguientes parámetros: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El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abogado ejecutor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será responsable del análisis, ejecución y proyección de los actos administrativos correspondientes 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dos expedientes semanales aproximadamente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Este trabajo comprende la revisión del expediente físico y/o digital, el análisis de pruebas y antecedentes, la consulta normativa, la elaboración del concepto jurídico y la redacción del acto administrativo (auto, formulación de cargos, archivo, fallo sancionatorio, entre otros).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El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abogado revisor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por su parte, podrá revisar en promedio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seis expedientes semanales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tarea que comprende la verificación integral de la coherencia jurídica, técnica y gramatical del acto administrativo proyectado, así como la validación del cumplimiento de los lineamientos institucionales, jurisprudenciales y normativos. La revisión también incluye la formulación de observaciones, ajustes de fondo o de forma, y su aprobación para firma y notificación.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Este cálculo sirve como insumo para estimar los tiempos requeridos para la descongestión total de expedientes, según el número de casos acumulados por temas propios de cada </w:t>
      </w:r>
      <w:r w:rsidDel="00000000" w:rsidR="00000000" w:rsidRPr="00000000">
        <w:rPr>
          <w:rtl w:val="0"/>
        </w:rPr>
        <w:t xml:space="preserv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ubdirección y el tamaño del equipo asignado.</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 base en el total de expedientes pendientes y la capacidad de resolución de los abogados ejecutores (2 expedientes por semana por abogado), se estima el número de semanas y meses requeridos para evacuar la totalidad del inventario sancionatorio en cada dependencia</w:t>
      </w:r>
      <w:r w:rsidDel="00000000" w:rsidR="00000000" w:rsidRPr="00000000">
        <w:rPr>
          <w:rtl w:val="0"/>
        </w:rPr>
        <w:t xml:space="preserve">.</w:t>
      </w:r>
      <w:r w:rsidDel="00000000" w:rsidR="00000000" w:rsidRPr="00000000">
        <w:rPr>
          <w:rtl w:val="0"/>
        </w:rPr>
      </w:r>
    </w:p>
    <w:tbl>
      <w:tblPr>
        <w:tblStyle w:val="Table2"/>
        <w:tblW w:w="8926.0" w:type="dxa"/>
        <w:jc w:val="left"/>
        <w:tblBorders>
          <w:top w:color="dae9f7" w:space="0" w:sz="4" w:val="single"/>
          <w:left w:color="dae9f7" w:space="0" w:sz="4" w:val="single"/>
          <w:bottom w:color="dae9f7" w:space="0" w:sz="4" w:val="single"/>
          <w:right w:color="dae9f7" w:space="0" w:sz="4" w:val="single"/>
          <w:insideH w:color="dae9f7" w:space="0" w:sz="4" w:val="single"/>
          <w:insideV w:color="dae9f7" w:space="0" w:sz="4" w:val="single"/>
        </w:tblBorders>
        <w:tblLayout w:type="fixed"/>
        <w:tblLook w:val="0400"/>
      </w:tblPr>
      <w:tblGrid>
        <w:gridCol w:w="1880"/>
        <w:gridCol w:w="1780"/>
        <w:gridCol w:w="1600"/>
        <w:gridCol w:w="1500"/>
        <w:gridCol w:w="2166"/>
        <w:tblGridChange w:id="0">
          <w:tblGrid>
            <w:gridCol w:w="1880"/>
            <w:gridCol w:w="1780"/>
            <w:gridCol w:w="1600"/>
            <w:gridCol w:w="1500"/>
            <w:gridCol w:w="2166"/>
          </w:tblGrid>
        </w:tblGridChange>
      </w:tblGrid>
      <w:tr>
        <w:trPr>
          <w:cantSplit w:val="0"/>
          <w:trHeight w:val="20" w:hRule="atLeast"/>
          <w:tblHeader w:val="1"/>
        </w:trPr>
        <w:tc>
          <w:tcPr>
            <w:shd w:fill="156082" w:val="clear"/>
            <w:vAlign w:val="center"/>
          </w:tcPr>
          <w:p w:rsidR="00000000" w:rsidDel="00000000" w:rsidP="00000000" w:rsidRDefault="00000000" w:rsidRPr="00000000" w14:paraId="000000D2">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Subdirección</w:t>
            </w:r>
          </w:p>
        </w:tc>
        <w:tc>
          <w:tcPr>
            <w:shd w:fill="156082" w:val="clear"/>
            <w:vAlign w:val="center"/>
          </w:tcPr>
          <w:p w:rsidR="00000000" w:rsidDel="00000000" w:rsidP="00000000" w:rsidRDefault="00000000" w:rsidRPr="00000000" w14:paraId="000000D3">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Expedientes</w:t>
            </w:r>
          </w:p>
        </w:tc>
        <w:tc>
          <w:tcPr>
            <w:shd w:fill="156082" w:val="clear"/>
            <w:vAlign w:val="center"/>
          </w:tcPr>
          <w:p w:rsidR="00000000" w:rsidDel="00000000" w:rsidP="00000000" w:rsidRDefault="00000000" w:rsidRPr="00000000" w14:paraId="000000D4">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Ejecutores</w:t>
            </w:r>
          </w:p>
        </w:tc>
        <w:tc>
          <w:tcPr>
            <w:shd w:fill="156082" w:val="clear"/>
            <w:vAlign w:val="center"/>
          </w:tcPr>
          <w:p w:rsidR="00000000" w:rsidDel="00000000" w:rsidP="00000000" w:rsidRDefault="00000000" w:rsidRPr="00000000" w14:paraId="000000D5">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Revisores</w:t>
            </w:r>
          </w:p>
        </w:tc>
        <w:tc>
          <w:tcPr>
            <w:shd w:fill="156082" w:val="clear"/>
            <w:vAlign w:val="center"/>
          </w:tcPr>
          <w:p w:rsidR="00000000" w:rsidDel="00000000" w:rsidP="00000000" w:rsidRDefault="00000000" w:rsidRPr="00000000" w14:paraId="000000D6">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Resolución estimada</w:t>
            </w:r>
          </w:p>
        </w:tc>
      </w:tr>
      <w:tr>
        <w:trPr>
          <w:cantSplit w:val="0"/>
          <w:trHeight w:val="567" w:hRule="atLeast"/>
          <w:tblHeader w:val="0"/>
        </w:trPr>
        <w:tc>
          <w:tcPr>
            <w:shd w:fill="c0e6f5" w:val="clear"/>
            <w:vAlign w:val="center"/>
          </w:tcPr>
          <w:p w:rsidR="00000000" w:rsidDel="00000000" w:rsidP="00000000" w:rsidRDefault="00000000" w:rsidRPr="00000000" w14:paraId="000000D7">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SCAAV</w:t>
            </w:r>
          </w:p>
        </w:tc>
        <w:tc>
          <w:tcPr>
            <w:shd w:fill="c0e6f5" w:val="clear"/>
            <w:vAlign w:val="center"/>
          </w:tcPr>
          <w:p w:rsidR="00000000" w:rsidDel="00000000" w:rsidP="00000000" w:rsidRDefault="00000000" w:rsidRPr="00000000" w14:paraId="000000D8">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1.778</w:t>
            </w:r>
          </w:p>
        </w:tc>
        <w:tc>
          <w:tcPr>
            <w:shd w:fill="c0e6f5" w:val="clear"/>
            <w:vAlign w:val="center"/>
          </w:tcPr>
          <w:p w:rsidR="00000000" w:rsidDel="00000000" w:rsidP="00000000" w:rsidRDefault="00000000" w:rsidRPr="00000000" w14:paraId="000000D9">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14</w:t>
            </w:r>
          </w:p>
        </w:tc>
        <w:tc>
          <w:tcPr>
            <w:shd w:fill="c0e6f5" w:val="clear"/>
            <w:vAlign w:val="center"/>
          </w:tcPr>
          <w:p w:rsidR="00000000" w:rsidDel="00000000" w:rsidP="00000000" w:rsidRDefault="00000000" w:rsidRPr="00000000" w14:paraId="000000DA">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4</w:t>
            </w:r>
          </w:p>
        </w:tc>
        <w:tc>
          <w:tcPr>
            <w:shd w:fill="c0e6f5" w:val="clear"/>
            <w:vAlign w:val="center"/>
          </w:tcPr>
          <w:p w:rsidR="00000000" w:rsidDel="00000000" w:rsidP="00000000" w:rsidRDefault="00000000" w:rsidRPr="00000000" w14:paraId="000000DB">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63.5 semanas</w:t>
              <w:br w:type="textWrapping"/>
              <w:t xml:space="preserve">(15.9 meses)</w:t>
            </w:r>
          </w:p>
        </w:tc>
      </w:tr>
      <w:tr>
        <w:trPr>
          <w:cantSplit w:val="0"/>
          <w:trHeight w:val="567" w:hRule="atLeast"/>
          <w:tblHeader w:val="0"/>
        </w:trPr>
        <w:tc>
          <w:tcPr>
            <w:vAlign w:val="center"/>
          </w:tcPr>
          <w:p w:rsidR="00000000" w:rsidDel="00000000" w:rsidP="00000000" w:rsidRDefault="00000000" w:rsidRPr="00000000" w14:paraId="000000DC">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SCASP</w:t>
            </w:r>
          </w:p>
        </w:tc>
        <w:tc>
          <w:tcPr>
            <w:vAlign w:val="center"/>
          </w:tcPr>
          <w:p w:rsidR="00000000" w:rsidDel="00000000" w:rsidP="00000000" w:rsidRDefault="00000000" w:rsidRPr="00000000" w14:paraId="000000DD">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229</w:t>
            </w:r>
          </w:p>
        </w:tc>
        <w:tc>
          <w:tcPr>
            <w:vAlign w:val="center"/>
          </w:tcPr>
          <w:p w:rsidR="00000000" w:rsidDel="00000000" w:rsidP="00000000" w:rsidRDefault="00000000" w:rsidRPr="00000000" w14:paraId="000000DE">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3</w:t>
            </w:r>
          </w:p>
        </w:tc>
        <w:tc>
          <w:tcPr>
            <w:vAlign w:val="center"/>
          </w:tcPr>
          <w:p w:rsidR="00000000" w:rsidDel="00000000" w:rsidP="00000000" w:rsidRDefault="00000000" w:rsidRPr="00000000" w14:paraId="000000DF">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1</w:t>
            </w:r>
          </w:p>
        </w:tc>
        <w:tc>
          <w:tcPr>
            <w:vAlign w:val="center"/>
          </w:tcPr>
          <w:p w:rsidR="00000000" w:rsidDel="00000000" w:rsidP="00000000" w:rsidRDefault="00000000" w:rsidRPr="00000000" w14:paraId="000000E0">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38.2 semanas</w:t>
              <w:br w:type="textWrapping"/>
              <w:t xml:space="preserve">(9.6 meses)</w:t>
            </w:r>
          </w:p>
        </w:tc>
      </w:tr>
      <w:tr>
        <w:trPr>
          <w:cantSplit w:val="0"/>
          <w:trHeight w:val="567" w:hRule="atLeast"/>
          <w:tblHeader w:val="0"/>
        </w:trPr>
        <w:tc>
          <w:tcPr>
            <w:shd w:fill="c0e6f5" w:val="clear"/>
            <w:vAlign w:val="center"/>
          </w:tcPr>
          <w:p w:rsidR="00000000" w:rsidDel="00000000" w:rsidP="00000000" w:rsidRDefault="00000000" w:rsidRPr="00000000" w14:paraId="000000E1">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SRHS</w:t>
            </w:r>
          </w:p>
        </w:tc>
        <w:tc>
          <w:tcPr>
            <w:shd w:fill="c0e6f5" w:val="clear"/>
            <w:vAlign w:val="center"/>
          </w:tcPr>
          <w:p w:rsidR="00000000" w:rsidDel="00000000" w:rsidP="00000000" w:rsidRDefault="00000000" w:rsidRPr="00000000" w14:paraId="000000E2">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412</w:t>
            </w:r>
          </w:p>
        </w:tc>
        <w:tc>
          <w:tcPr>
            <w:shd w:fill="c0e6f5" w:val="clear"/>
            <w:vAlign w:val="center"/>
          </w:tcPr>
          <w:p w:rsidR="00000000" w:rsidDel="00000000" w:rsidP="00000000" w:rsidRDefault="00000000" w:rsidRPr="00000000" w14:paraId="000000E3">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5</w:t>
            </w:r>
          </w:p>
        </w:tc>
        <w:tc>
          <w:tcPr>
            <w:shd w:fill="c0e6f5" w:val="clear"/>
            <w:vAlign w:val="center"/>
          </w:tcPr>
          <w:p w:rsidR="00000000" w:rsidDel="00000000" w:rsidP="00000000" w:rsidRDefault="00000000" w:rsidRPr="00000000" w14:paraId="000000E4">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2</w:t>
            </w:r>
          </w:p>
        </w:tc>
        <w:tc>
          <w:tcPr>
            <w:shd w:fill="c0e6f5" w:val="clear"/>
            <w:vAlign w:val="center"/>
          </w:tcPr>
          <w:p w:rsidR="00000000" w:rsidDel="00000000" w:rsidP="00000000" w:rsidRDefault="00000000" w:rsidRPr="00000000" w14:paraId="000000E5">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41.2 semanas</w:t>
              <w:br w:type="textWrapping"/>
              <w:t xml:space="preserve">(10.3 meses)</w:t>
            </w:r>
          </w:p>
        </w:tc>
      </w:tr>
      <w:tr>
        <w:trPr>
          <w:cantSplit w:val="0"/>
          <w:trHeight w:val="567" w:hRule="atLeast"/>
          <w:tblHeader w:val="0"/>
        </w:trPr>
        <w:tc>
          <w:tcPr>
            <w:vAlign w:val="center"/>
          </w:tcPr>
          <w:p w:rsidR="00000000" w:rsidDel="00000000" w:rsidP="00000000" w:rsidRDefault="00000000" w:rsidRPr="00000000" w14:paraId="000000E6">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SSFFS</w:t>
            </w:r>
          </w:p>
        </w:tc>
        <w:tc>
          <w:tcPr>
            <w:vAlign w:val="center"/>
          </w:tcPr>
          <w:p w:rsidR="00000000" w:rsidDel="00000000" w:rsidP="00000000" w:rsidRDefault="00000000" w:rsidRPr="00000000" w14:paraId="000000E7">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1.895</w:t>
            </w:r>
          </w:p>
        </w:tc>
        <w:tc>
          <w:tcPr>
            <w:vAlign w:val="center"/>
          </w:tcPr>
          <w:p w:rsidR="00000000" w:rsidDel="00000000" w:rsidP="00000000" w:rsidRDefault="00000000" w:rsidRPr="00000000" w14:paraId="000000E8">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8</w:t>
            </w:r>
          </w:p>
        </w:tc>
        <w:tc>
          <w:tcPr>
            <w:vAlign w:val="center"/>
          </w:tcPr>
          <w:p w:rsidR="00000000" w:rsidDel="00000000" w:rsidP="00000000" w:rsidRDefault="00000000" w:rsidRPr="00000000" w14:paraId="000000E9">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2</w:t>
            </w:r>
          </w:p>
        </w:tc>
        <w:tc>
          <w:tcPr>
            <w:vAlign w:val="center"/>
          </w:tcPr>
          <w:p w:rsidR="00000000" w:rsidDel="00000000" w:rsidP="00000000" w:rsidRDefault="00000000" w:rsidRPr="00000000" w14:paraId="000000EA">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118.4 semanas</w:t>
              <w:br w:type="textWrapping"/>
              <w:t xml:space="preserve">(29.6 meses)</w:t>
            </w:r>
          </w:p>
        </w:tc>
      </w:tr>
    </w:tbl>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rPr>
          <w:rtl w:val="0"/>
        </w:rPr>
        <w:t xml:space="preserve">Se establecen tiempos estimados de resolución por tipos de infracción asociados a cada subdirección, considerando la antigüedad de los expedientes y su etapa.</w:t>
      </w:r>
    </w:p>
    <w:p w:rsidR="00000000" w:rsidDel="00000000" w:rsidP="00000000" w:rsidRDefault="00000000" w:rsidRPr="00000000" w14:paraId="000000ED">
      <w:pPr>
        <w:jc w:val="both"/>
        <w:rPr/>
      </w:pPr>
      <w:r w:rsidDel="00000000" w:rsidR="00000000" w:rsidRPr="00000000">
        <w:rPr>
          <w:rtl w:val="0"/>
        </w:rPr>
      </w:r>
    </w:p>
    <w:tbl>
      <w:tblPr>
        <w:tblStyle w:val="Table3"/>
        <w:tblW w:w="9315.0" w:type="dxa"/>
        <w:jc w:val="center"/>
        <w:tblBorders>
          <w:top w:color="dae9f7" w:space="0" w:sz="4" w:val="single"/>
          <w:left w:color="dae9f7" w:space="0" w:sz="4" w:val="single"/>
          <w:bottom w:color="dae9f7" w:space="0" w:sz="4" w:val="single"/>
          <w:right w:color="dae9f7" w:space="0" w:sz="4" w:val="single"/>
          <w:insideH w:color="dae9f7" w:space="0" w:sz="4" w:val="single"/>
          <w:insideV w:color="dae9f7" w:space="0" w:sz="4" w:val="single"/>
        </w:tblBorders>
        <w:tblLayout w:type="fixed"/>
        <w:tblLook w:val="0400"/>
      </w:tblPr>
      <w:tblGrid>
        <w:gridCol w:w="1485"/>
        <w:gridCol w:w="2565"/>
        <w:gridCol w:w="2700"/>
        <w:gridCol w:w="2565"/>
        <w:tblGridChange w:id="0">
          <w:tblGrid>
            <w:gridCol w:w="1485"/>
            <w:gridCol w:w="2565"/>
            <w:gridCol w:w="2700"/>
            <w:gridCol w:w="2565"/>
          </w:tblGrid>
        </w:tblGridChange>
      </w:tblGrid>
      <w:tr>
        <w:trPr>
          <w:cantSplit w:val="0"/>
          <w:trHeight w:val="1020" w:hRule="atLeast"/>
          <w:tblHeader w:val="0"/>
        </w:trPr>
        <w:tc>
          <w:tcPr>
            <w:shd w:fill="156082" w:val="clear"/>
            <w:vAlign w:val="center"/>
          </w:tcPr>
          <w:p w:rsidR="00000000" w:rsidDel="00000000" w:rsidP="00000000" w:rsidRDefault="00000000" w:rsidRPr="00000000" w14:paraId="000000EE">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Subdirección</w:t>
            </w:r>
          </w:p>
        </w:tc>
        <w:tc>
          <w:tcPr>
            <w:shd w:fill="156082" w:val="clear"/>
            <w:vAlign w:val="center"/>
          </w:tcPr>
          <w:p w:rsidR="00000000" w:rsidDel="00000000" w:rsidP="00000000" w:rsidRDefault="00000000" w:rsidRPr="00000000" w14:paraId="000000EF">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Expedientes 15-19 años</w:t>
            </w:r>
          </w:p>
        </w:tc>
        <w:tc>
          <w:tcPr>
            <w:shd w:fill="156082" w:val="clear"/>
            <w:vAlign w:val="center"/>
          </w:tcPr>
          <w:p w:rsidR="00000000" w:rsidDel="00000000" w:rsidP="00000000" w:rsidRDefault="00000000" w:rsidRPr="00000000" w14:paraId="000000F0">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Expedientes 12-14 años</w:t>
            </w:r>
          </w:p>
        </w:tc>
        <w:tc>
          <w:tcPr>
            <w:shd w:fill="156082" w:val="clear"/>
            <w:vAlign w:val="center"/>
          </w:tcPr>
          <w:p w:rsidR="00000000" w:rsidDel="00000000" w:rsidP="00000000" w:rsidRDefault="00000000" w:rsidRPr="00000000" w14:paraId="000000F1">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Expedientes 10-11 años</w:t>
            </w:r>
          </w:p>
        </w:tc>
      </w:tr>
      <w:tr>
        <w:trPr>
          <w:cantSplit w:val="0"/>
          <w:trHeight w:val="680" w:hRule="atLeast"/>
          <w:tblHeader w:val="0"/>
        </w:trPr>
        <w:tc>
          <w:tcPr>
            <w:shd w:fill="c0e6f5" w:val="clear"/>
            <w:vAlign w:val="center"/>
          </w:tcPr>
          <w:p w:rsidR="00000000" w:rsidDel="00000000" w:rsidP="00000000" w:rsidRDefault="00000000" w:rsidRPr="00000000" w14:paraId="000000F2">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SCAAV</w:t>
            </w:r>
          </w:p>
        </w:tc>
        <w:tc>
          <w:tcPr>
            <w:shd w:fill="c0e6f5" w:val="clear"/>
            <w:vAlign w:val="center"/>
          </w:tcPr>
          <w:p w:rsidR="00000000" w:rsidDel="00000000" w:rsidP="00000000" w:rsidRDefault="00000000" w:rsidRPr="00000000" w14:paraId="000000F3">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3 a 4 meses</w:t>
            </w:r>
          </w:p>
        </w:tc>
        <w:tc>
          <w:tcPr>
            <w:shd w:fill="c0e6f5" w:val="clear"/>
            <w:vAlign w:val="center"/>
          </w:tcPr>
          <w:p w:rsidR="00000000" w:rsidDel="00000000" w:rsidP="00000000" w:rsidRDefault="00000000" w:rsidRPr="00000000" w14:paraId="000000F4">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5 a 6 meses</w:t>
            </w:r>
          </w:p>
        </w:tc>
        <w:tc>
          <w:tcPr>
            <w:shd w:fill="c0e6f5" w:val="clear"/>
            <w:vAlign w:val="center"/>
          </w:tcPr>
          <w:p w:rsidR="00000000" w:rsidDel="00000000" w:rsidP="00000000" w:rsidRDefault="00000000" w:rsidRPr="00000000" w14:paraId="000000F5">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6 a 9 meses</w:t>
            </w:r>
          </w:p>
        </w:tc>
      </w:tr>
      <w:tr>
        <w:trPr>
          <w:cantSplit w:val="0"/>
          <w:trHeight w:val="680" w:hRule="atLeast"/>
          <w:tblHeader w:val="0"/>
        </w:trPr>
        <w:tc>
          <w:tcPr>
            <w:vAlign w:val="center"/>
          </w:tcPr>
          <w:p w:rsidR="00000000" w:rsidDel="00000000" w:rsidP="00000000" w:rsidRDefault="00000000" w:rsidRPr="00000000" w14:paraId="000000F6">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SCASP</w:t>
            </w:r>
          </w:p>
        </w:tc>
        <w:tc>
          <w:tcPr>
            <w:vAlign w:val="center"/>
          </w:tcPr>
          <w:p w:rsidR="00000000" w:rsidDel="00000000" w:rsidP="00000000" w:rsidRDefault="00000000" w:rsidRPr="00000000" w14:paraId="000000F7">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2 a 3 meses</w:t>
            </w:r>
          </w:p>
        </w:tc>
        <w:tc>
          <w:tcPr>
            <w:vAlign w:val="center"/>
          </w:tcPr>
          <w:p w:rsidR="00000000" w:rsidDel="00000000" w:rsidP="00000000" w:rsidRDefault="00000000" w:rsidRPr="00000000" w14:paraId="000000F8">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3 a 4 meses</w:t>
            </w:r>
          </w:p>
        </w:tc>
        <w:tc>
          <w:tcPr>
            <w:vAlign w:val="center"/>
          </w:tcPr>
          <w:p w:rsidR="00000000" w:rsidDel="00000000" w:rsidP="00000000" w:rsidRDefault="00000000" w:rsidRPr="00000000" w14:paraId="000000F9">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4 a 6 meses</w:t>
            </w:r>
          </w:p>
        </w:tc>
      </w:tr>
      <w:tr>
        <w:trPr>
          <w:cantSplit w:val="0"/>
          <w:trHeight w:val="680" w:hRule="atLeast"/>
          <w:tblHeader w:val="0"/>
        </w:trPr>
        <w:tc>
          <w:tcPr>
            <w:shd w:fill="c0e6f5" w:val="clear"/>
            <w:vAlign w:val="center"/>
          </w:tcPr>
          <w:p w:rsidR="00000000" w:rsidDel="00000000" w:rsidP="00000000" w:rsidRDefault="00000000" w:rsidRPr="00000000" w14:paraId="000000FA">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SRHS</w:t>
            </w:r>
          </w:p>
        </w:tc>
        <w:tc>
          <w:tcPr>
            <w:shd w:fill="c0e6f5" w:val="clear"/>
            <w:vAlign w:val="center"/>
          </w:tcPr>
          <w:p w:rsidR="00000000" w:rsidDel="00000000" w:rsidP="00000000" w:rsidRDefault="00000000" w:rsidRPr="00000000" w14:paraId="000000FB">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3 meses</w:t>
            </w:r>
          </w:p>
        </w:tc>
        <w:tc>
          <w:tcPr>
            <w:shd w:fill="c0e6f5" w:val="clear"/>
            <w:vAlign w:val="center"/>
          </w:tcPr>
          <w:p w:rsidR="00000000" w:rsidDel="00000000" w:rsidP="00000000" w:rsidRDefault="00000000" w:rsidRPr="00000000" w14:paraId="000000FC">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5 a 6 meses</w:t>
            </w:r>
          </w:p>
        </w:tc>
        <w:tc>
          <w:tcPr>
            <w:shd w:fill="c0e6f5" w:val="clear"/>
            <w:vAlign w:val="center"/>
          </w:tcPr>
          <w:p w:rsidR="00000000" w:rsidDel="00000000" w:rsidP="00000000" w:rsidRDefault="00000000" w:rsidRPr="00000000" w14:paraId="000000FD">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6 a 8 meses</w:t>
            </w:r>
          </w:p>
        </w:tc>
      </w:tr>
      <w:tr>
        <w:trPr>
          <w:cantSplit w:val="0"/>
          <w:trHeight w:val="680" w:hRule="atLeast"/>
          <w:tblHeader w:val="0"/>
        </w:trPr>
        <w:tc>
          <w:tcPr>
            <w:vAlign w:val="center"/>
          </w:tcPr>
          <w:p w:rsidR="00000000" w:rsidDel="00000000" w:rsidP="00000000" w:rsidRDefault="00000000" w:rsidRPr="00000000" w14:paraId="000000FE">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SSFFS</w:t>
            </w:r>
          </w:p>
        </w:tc>
        <w:tc>
          <w:tcPr>
            <w:vAlign w:val="center"/>
          </w:tcPr>
          <w:p w:rsidR="00000000" w:rsidDel="00000000" w:rsidP="00000000" w:rsidRDefault="00000000" w:rsidRPr="00000000" w14:paraId="000000FF">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6 meses</w:t>
            </w:r>
          </w:p>
        </w:tc>
        <w:tc>
          <w:tcPr>
            <w:vAlign w:val="center"/>
          </w:tcPr>
          <w:p w:rsidR="00000000" w:rsidDel="00000000" w:rsidP="00000000" w:rsidRDefault="00000000" w:rsidRPr="00000000" w14:paraId="00000100">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8 a 10 meses</w:t>
            </w:r>
          </w:p>
        </w:tc>
        <w:tc>
          <w:tcPr>
            <w:vAlign w:val="center"/>
          </w:tcPr>
          <w:p w:rsidR="00000000" w:rsidDel="00000000" w:rsidP="00000000" w:rsidRDefault="00000000" w:rsidRPr="00000000" w14:paraId="00000101">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12 a 14 meses</w:t>
            </w:r>
          </w:p>
        </w:tc>
      </w:tr>
    </w:tbl>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Resultados esperados</w:t>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La implementación del presente plan de descongestión tiene como finalidad reducir de manera significativa el inventario de expedientes sancionatorios pendientes, garantizando una gestión eficaz, técnica y jurídicamente sólida de los casos acumulados en las diferentes subdirecciones. Para ello, se ha proyectado una estrategia integral que incorpora criterios de antigüedad, etapa procesal, complejidad del asunto y capacidad operativa del equipo asignado, lo cual permitirá alcanzar los resultados esperados.</w:t>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t xml:space="preserve">En primer lugar, se espera lograr una </w:t>
      </w:r>
      <w:r w:rsidDel="00000000" w:rsidR="00000000" w:rsidRPr="00000000">
        <w:rPr>
          <w:b w:val="1"/>
          <w:rtl w:val="0"/>
        </w:rPr>
        <w:t xml:space="preserve">reducción progresiva del volumen total de expedientes</w:t>
      </w:r>
      <w:r w:rsidDel="00000000" w:rsidR="00000000" w:rsidRPr="00000000">
        <w:rPr>
          <w:rtl w:val="0"/>
        </w:rPr>
        <w:t xml:space="preserve">, iniciando con aquellos que presentan mayor antigüedad —especialmente los superiores a catorce (14) años— y que puedan ser objeto de archivo por prescripción, caducidad o inexistencia de mérito sancionatorio. Esta revisión deberá surtirse en las primeras seis semanas de implementación, y permitirá depurar el inventario para enfocar los esfuerzos en aquellos expedientes que verdaderamente requieren decisión de fondo.</w:t>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t xml:space="preserve">En segundo lugar, se proyecta que en el transcurso de los primeros seis meses pueda resolverse al menos el </w:t>
      </w:r>
      <w:r w:rsidDel="00000000" w:rsidR="00000000" w:rsidRPr="00000000">
        <w:rPr>
          <w:b w:val="1"/>
          <w:rtl w:val="0"/>
        </w:rPr>
        <w:t xml:space="preserve">40% del total de expedientes acumulados</w:t>
      </w:r>
      <w:r w:rsidDel="00000000" w:rsidR="00000000" w:rsidRPr="00000000">
        <w:rPr>
          <w:rtl w:val="0"/>
        </w:rPr>
        <w:t xml:space="preserve">, priorizando aquellos en etapa avanzada (alegatos, proyección de decisión o en recurso) y aquellos con impactos ambientales relevantes. Este avance se logrará mediante la distribución racional del equipo de abogados, la aplicación de criterios uniformes de análisis jurídico y el uso de herramientas que faciliten la elaboración y revisión de actos administrativos.</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t xml:space="preserve">De forma complementaria, se estima que la SCASP y la SRHS, por su volumen moderado de expedientes y carga distribuida, podrían culminar la totalidad de su inventario en un plazo no superior a doce meses. A partir de ese momento, parte de sus equipos podrían ser redistribuidos hacia otras subdirecciones con mayor rezago, particularmente hacia la SSFFS, que concentra el mayor número de casos y cuya proyección de resolución, con el equipo actualmente asignado, es cercana a los veinte meses.</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t xml:space="preserve">Así mismo, se anticipa una </w:t>
      </w:r>
      <w:r w:rsidDel="00000000" w:rsidR="00000000" w:rsidRPr="00000000">
        <w:rPr>
          <w:b w:val="1"/>
          <w:rtl w:val="0"/>
        </w:rPr>
        <w:t xml:space="preserve">mejora en la calidad y uniformidad de las decisiones administrativas</w:t>
      </w:r>
      <w:r w:rsidDel="00000000" w:rsidR="00000000" w:rsidRPr="00000000">
        <w:rPr>
          <w:rtl w:val="0"/>
        </w:rPr>
        <w:t xml:space="preserve">, como resultado de la asignación de tiempos razonables por expediente, el fortalecimiento del proceso de revisión y la incorporación de criterios de priorización, lo cual contribuirá a la seguridad jurídica de las decisiones adoptadas.</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t xml:space="preserve">Finalmente, se prevé una </w:t>
      </w:r>
      <w:r w:rsidDel="00000000" w:rsidR="00000000" w:rsidRPr="00000000">
        <w:rPr>
          <w:b w:val="1"/>
          <w:rtl w:val="0"/>
        </w:rPr>
        <w:t xml:space="preserve">optimización de los tiempos institucionales de respuesta</w:t>
      </w:r>
      <w:r w:rsidDel="00000000" w:rsidR="00000000" w:rsidRPr="00000000">
        <w:rPr>
          <w:rtl w:val="0"/>
        </w:rPr>
        <w:t xml:space="preserve">, una reducción sustancial del rezago histórico y el fortalecimiento de la confianza ciudadana e interinstitucional en los mecanismos de vigilancia, control y sanción ambiental, conforme a los principios de celeridad, eficiencia, eficacia y legalidad que rigen la función pública.</w:t>
      </w:r>
    </w:p>
    <w:p w:rsidR="00000000" w:rsidDel="00000000" w:rsidP="00000000" w:rsidRDefault="00000000" w:rsidRPr="00000000" w14:paraId="00000110">
      <w:pPr>
        <w:jc w:val="both"/>
        <w:rPr/>
      </w:pPr>
      <w:r w:rsidDel="00000000" w:rsidR="00000000" w:rsidRPr="00000000">
        <w:rPr>
          <w:rtl w:val="0"/>
        </w:rPr>
      </w:r>
    </w:p>
    <w:tbl>
      <w:tblPr>
        <w:tblStyle w:val="Table4"/>
        <w:tblW w:w="4389.0" w:type="dxa"/>
        <w:jc w:val="center"/>
        <w:tblBorders>
          <w:top w:color="dae9f7" w:space="0" w:sz="4" w:val="single"/>
          <w:left w:color="dae9f7" w:space="0" w:sz="4" w:val="single"/>
          <w:bottom w:color="dae9f7" w:space="0" w:sz="4" w:val="single"/>
          <w:right w:color="dae9f7" w:space="0" w:sz="4" w:val="single"/>
          <w:insideH w:color="dae9f7" w:space="0" w:sz="4" w:val="single"/>
          <w:insideV w:color="dae9f7" w:space="0" w:sz="4" w:val="single"/>
        </w:tblBorders>
        <w:tblLayout w:type="fixed"/>
        <w:tblLook w:val="0400"/>
      </w:tblPr>
      <w:tblGrid>
        <w:gridCol w:w="1838"/>
        <w:gridCol w:w="2551"/>
        <w:tblGridChange w:id="0">
          <w:tblGrid>
            <w:gridCol w:w="1838"/>
            <w:gridCol w:w="2551"/>
          </w:tblGrid>
        </w:tblGridChange>
      </w:tblGrid>
      <w:tr>
        <w:trPr>
          <w:cantSplit w:val="0"/>
          <w:trHeight w:val="1020" w:hRule="atLeast"/>
          <w:tblHeader w:val="0"/>
        </w:trPr>
        <w:tc>
          <w:tcPr>
            <w:shd w:fill="156082" w:val="clear"/>
            <w:vAlign w:val="center"/>
          </w:tcPr>
          <w:p w:rsidR="00000000" w:rsidDel="00000000" w:rsidP="00000000" w:rsidRDefault="00000000" w:rsidRPr="00000000" w14:paraId="00000111">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Subdirección</w:t>
            </w:r>
          </w:p>
        </w:tc>
        <w:tc>
          <w:tcPr>
            <w:shd w:fill="156082" w:val="clear"/>
            <w:vAlign w:val="center"/>
          </w:tcPr>
          <w:p w:rsidR="00000000" w:rsidDel="00000000" w:rsidP="00000000" w:rsidRDefault="00000000" w:rsidRPr="00000000" w14:paraId="00000112">
            <w:pPr>
              <w:jc w:val="center"/>
              <w:rPr>
                <w:rFonts w:ascii="Aptos" w:cs="Aptos" w:eastAsia="Aptos" w:hAnsi="Aptos"/>
                <w:b w:val="1"/>
                <w:color w:val="ffffff"/>
                <w:sz w:val="21"/>
                <w:szCs w:val="21"/>
              </w:rPr>
            </w:pPr>
            <w:r w:rsidDel="00000000" w:rsidR="00000000" w:rsidRPr="00000000">
              <w:rPr>
                <w:rFonts w:ascii="Aptos" w:cs="Aptos" w:eastAsia="Aptos" w:hAnsi="Aptos"/>
                <w:b w:val="1"/>
                <w:color w:val="ffffff"/>
                <w:sz w:val="21"/>
                <w:szCs w:val="21"/>
                <w:rtl w:val="0"/>
              </w:rPr>
              <w:t xml:space="preserve">2025 (40%)</w:t>
            </w:r>
          </w:p>
        </w:tc>
      </w:tr>
      <w:tr>
        <w:trPr>
          <w:cantSplit w:val="0"/>
          <w:trHeight w:val="680" w:hRule="atLeast"/>
          <w:tblHeader w:val="0"/>
        </w:trPr>
        <w:tc>
          <w:tcPr>
            <w:shd w:fill="c0e6f5" w:val="clear"/>
            <w:vAlign w:val="center"/>
          </w:tcPr>
          <w:p w:rsidR="00000000" w:rsidDel="00000000" w:rsidP="00000000" w:rsidRDefault="00000000" w:rsidRPr="00000000" w14:paraId="00000113">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SCAAV</w:t>
            </w:r>
          </w:p>
        </w:tc>
        <w:tc>
          <w:tcPr>
            <w:shd w:fill="c0e6f5" w:val="clear"/>
            <w:vAlign w:val="center"/>
          </w:tcPr>
          <w:p w:rsidR="00000000" w:rsidDel="00000000" w:rsidP="00000000" w:rsidRDefault="00000000" w:rsidRPr="00000000" w14:paraId="00000114">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711 Expedientes</w:t>
            </w:r>
          </w:p>
        </w:tc>
      </w:tr>
      <w:tr>
        <w:trPr>
          <w:cantSplit w:val="0"/>
          <w:trHeight w:val="680" w:hRule="atLeast"/>
          <w:tblHeader w:val="0"/>
        </w:trPr>
        <w:tc>
          <w:tcPr>
            <w:vAlign w:val="center"/>
          </w:tcPr>
          <w:p w:rsidR="00000000" w:rsidDel="00000000" w:rsidP="00000000" w:rsidRDefault="00000000" w:rsidRPr="00000000" w14:paraId="00000115">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SCASP</w:t>
            </w:r>
          </w:p>
        </w:tc>
        <w:tc>
          <w:tcPr>
            <w:vAlign w:val="center"/>
          </w:tcPr>
          <w:p w:rsidR="00000000" w:rsidDel="00000000" w:rsidP="00000000" w:rsidRDefault="00000000" w:rsidRPr="00000000" w14:paraId="00000116">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92 Expedientes</w:t>
            </w:r>
          </w:p>
        </w:tc>
      </w:tr>
      <w:tr>
        <w:trPr>
          <w:cantSplit w:val="0"/>
          <w:trHeight w:val="680" w:hRule="atLeast"/>
          <w:tblHeader w:val="0"/>
        </w:trPr>
        <w:tc>
          <w:tcPr>
            <w:shd w:fill="c0e6f5" w:val="clear"/>
            <w:vAlign w:val="center"/>
          </w:tcPr>
          <w:p w:rsidR="00000000" w:rsidDel="00000000" w:rsidP="00000000" w:rsidRDefault="00000000" w:rsidRPr="00000000" w14:paraId="00000117">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SRHS</w:t>
            </w:r>
          </w:p>
        </w:tc>
        <w:tc>
          <w:tcPr>
            <w:shd w:fill="c0e6f5" w:val="clear"/>
            <w:vAlign w:val="center"/>
          </w:tcPr>
          <w:p w:rsidR="00000000" w:rsidDel="00000000" w:rsidP="00000000" w:rsidRDefault="00000000" w:rsidRPr="00000000" w14:paraId="00000118">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165 Expedientes</w:t>
            </w:r>
          </w:p>
        </w:tc>
      </w:tr>
      <w:tr>
        <w:trPr>
          <w:cantSplit w:val="0"/>
          <w:trHeight w:val="680" w:hRule="atLeast"/>
          <w:tblHeader w:val="0"/>
        </w:trPr>
        <w:tc>
          <w:tcPr>
            <w:vAlign w:val="center"/>
          </w:tcPr>
          <w:p w:rsidR="00000000" w:rsidDel="00000000" w:rsidP="00000000" w:rsidRDefault="00000000" w:rsidRPr="00000000" w14:paraId="00000119">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SSFFS</w:t>
            </w:r>
          </w:p>
        </w:tc>
        <w:tc>
          <w:tcPr>
            <w:vAlign w:val="center"/>
          </w:tcPr>
          <w:p w:rsidR="00000000" w:rsidDel="00000000" w:rsidP="00000000" w:rsidRDefault="00000000" w:rsidRPr="00000000" w14:paraId="0000011A">
            <w:pPr>
              <w:jc w:val="center"/>
              <w:rPr>
                <w:rFonts w:ascii="Aptos" w:cs="Aptos" w:eastAsia="Aptos" w:hAnsi="Aptos"/>
                <w:color w:val="000000"/>
                <w:sz w:val="21"/>
                <w:szCs w:val="21"/>
              </w:rPr>
            </w:pPr>
            <w:r w:rsidDel="00000000" w:rsidR="00000000" w:rsidRPr="00000000">
              <w:rPr>
                <w:rFonts w:ascii="Aptos" w:cs="Aptos" w:eastAsia="Aptos" w:hAnsi="Aptos"/>
                <w:color w:val="000000"/>
                <w:sz w:val="21"/>
                <w:szCs w:val="21"/>
                <w:rtl w:val="0"/>
              </w:rPr>
              <w:t xml:space="preserve">758 Expedientes</w:t>
            </w:r>
          </w:p>
        </w:tc>
      </w:tr>
    </w:tbl>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pStyle w:val="Heading1"/>
        <w:rPr/>
      </w:pPr>
      <w:r w:rsidDel="00000000" w:rsidR="00000000" w:rsidRPr="00000000">
        <w:rPr>
          <w:rtl w:val="0"/>
        </w:rPr>
        <w:t xml:space="preserve">Acciones propuestas para el Plan de Descongestión</w:t>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t xml:space="preserve">La ejecución del Plan de Descongestión de Procesos Sancionatorios Ambientales requiere la implementación de estrategias específicas que permitan optimizar los procedimientos, priorizar los casos más antiguos y garantizar que las decisiones administrativas se adopten dentro de los plazos establecidos en la Ley 1333 de 2009, modificada por la Ley 2387 de 2024. Para ello, se establecen las siete acciones.</w:t>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pStyle w:val="Heading2"/>
        <w:rPr/>
      </w:pPr>
      <w:r w:rsidDel="00000000" w:rsidR="00000000" w:rsidRPr="00000000">
        <w:rPr>
          <w:rtl w:val="0"/>
        </w:rPr>
        <w:t xml:space="preserve">1. Identificación y clasificación de los expedientes</w:t>
      </w:r>
    </w:p>
    <w:p w:rsidR="00000000" w:rsidDel="00000000" w:rsidP="00000000" w:rsidRDefault="00000000" w:rsidRPr="00000000" w14:paraId="00000121">
      <w:pPr>
        <w:jc w:val="both"/>
        <w:rPr/>
      </w:pPr>
      <w:r w:rsidDel="00000000" w:rsidR="00000000" w:rsidRPr="00000000">
        <w:rPr>
          <w:rtl w:val="0"/>
        </w:rPr>
        <w:t xml:space="preserve">Como primera acción estratégica, se establece la necesidad de realizar una identificación y clasificación detallada del universo de expedientes sancionatorios pendientes, con el fin de adoptar decisiones diferenciadas según la antigüedad, la etapa procesal, la naturaleza de la infracción y el nivel de complejidad técnica o jurídica del caso. Para ello, cada subdirección deberá consolidar un inventario actualizado que permita ubicar con claridad el estado actual de cada expediente.</w:t>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t xml:space="preserve">Esta clasificación permitirá establecer el nivel de avance de cada expediente, identificar cuellos de botella administrativos o jurídicos, y asignar tareas específicas al equipo de trabajo de manera segmentada. Para ello, se acudirá al uso de herramientas de gestión documental, bases de datos actualizadas o tableros de seguimiento digital para facilitar este proceso de organización y monitoreo.</w:t>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pStyle w:val="Heading2"/>
        <w:rPr/>
      </w:pPr>
      <w:r w:rsidDel="00000000" w:rsidR="00000000" w:rsidRPr="00000000">
        <w:rPr>
          <w:rtl w:val="0"/>
        </w:rPr>
        <w:t xml:space="preserve">2. Priorización y asignación estratégica de casos</w:t>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t xml:space="preserve">Paralelamente al análisis de antigüedad, se debe establecer una estrategia de priorización por estado procesal, con el fin de garantizar que los expedientes más próximos a decisión puedan ser evacuados con mayor celeridad. En tal sentido, se sugiere establecer las siguientes líneas de atención:</w:t>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Primera prioridad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Expedientes en fase de decisión o en recurso. Deben ser abordados de inmediato por su grado de madurez procesal.</w:t>
      </w:r>
    </w:p>
    <w:p w:rsidR="00000000" w:rsidDel="00000000" w:rsidP="00000000" w:rsidRDefault="00000000" w:rsidRPr="00000000" w14:paraId="000001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Segunda prioridad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Expedientes con etapa probatoria cerrada o en fase de alegatos.</w:t>
      </w:r>
    </w:p>
    <w:p w:rsidR="00000000" w:rsidDel="00000000" w:rsidP="00000000" w:rsidRDefault="00000000" w:rsidRPr="00000000" w14:paraId="000001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Tercera prioridad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Expedientes en formulación de cargos o en etapa de recolección probatoria.</w:t>
      </w:r>
    </w:p>
    <w:p w:rsidR="00000000" w:rsidDel="00000000" w:rsidP="00000000" w:rsidRDefault="00000000" w:rsidRPr="00000000" w14:paraId="000001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Cuarta prioridad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Expedientes en fase inicial, salvo que por su antigüedad puedan constituirse en un riesgo de caducidad.</w:t>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t xml:space="preserve">La implementación de este criterio permitirá atender primero los casos con mayor probabilidad de finalización en el corto plazo, reduciendo progresivamente el inventario en todas las etapas del proceso.</w:t>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pStyle w:val="Heading2"/>
        <w:rPr/>
      </w:pPr>
      <w:r w:rsidDel="00000000" w:rsidR="00000000" w:rsidRPr="00000000">
        <w:rPr>
          <w:rtl w:val="0"/>
        </w:rPr>
        <w:t xml:space="preserve">3. Optimización de procesos y reducción de reprocesos</w:t>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t xml:space="preserve">Para mejorar la eficiencia en la resolución de los expedientes sancionatorios, se implementarán medidas destinadas a reducir los reprocesos derivados de deficiencias en la redacción, análisis jurídico o revisión de los actos administrativos. Entre las estrategias clave se incluyen:</w:t>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Aplicación de formatos estandarizados y actualizados en la elaboración de actos administrativos.</w:t>
      </w:r>
    </w:p>
    <w:p w:rsidR="00000000" w:rsidDel="00000000" w:rsidP="00000000" w:rsidRDefault="00000000" w:rsidRPr="00000000" w14:paraId="000001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Implementación de herramientas y mecanismos de automatización para la generación de proyectos de actos administrativos y la gestión de procedimientos sancionatorios.</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Supervisión de los criterios de calidad en la revisión de los expedientes.</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Implementación de mecanismos de control para garantizar que los documentos proyectados cumplan con los requisitos legales antes de su firma.</w:t>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pStyle w:val="Heading2"/>
        <w:rPr/>
      </w:pPr>
      <w:r w:rsidDel="00000000" w:rsidR="00000000" w:rsidRPr="00000000">
        <w:rPr>
          <w:rtl w:val="0"/>
        </w:rPr>
        <w:t xml:space="preserve">4. Fortalecimiento del equipo de trabajo</w:t>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t xml:space="preserve">El cumplimiento del plan de descongestión requiere un equipo con capacidades fortalecidas en la gestión y resolución de procesos sancionatorios. Para ello, se llevarán a cabo:</w:t>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Capacitaciones especializadas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en la aplicación de la Ley 1333 de 2009 y su modificación en la Ley 2387 de 2024.</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Acompañamiento a los abogados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que presenten dificultades en la ejecución de sus planes de trabajo.</w:t>
      </w:r>
    </w:p>
    <w:p w:rsidR="00000000" w:rsidDel="00000000" w:rsidP="00000000" w:rsidRDefault="00000000" w:rsidRPr="00000000" w14:paraId="000001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Monitoreo constante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del desempeño individual y colectivo para garantizar el cumplimiento de las metas.</w:t>
      </w:r>
    </w:p>
    <w:p w:rsidR="00000000" w:rsidDel="00000000" w:rsidP="00000000" w:rsidRDefault="00000000" w:rsidRPr="00000000" w14:paraId="000001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Fortalecimiento de capacidades: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 través de la contratación de servicios por medio de las modalidades aplicables y conforme a la disponibilidad presupuestal. </w:t>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pStyle w:val="Heading2"/>
        <w:rPr/>
      </w:pPr>
      <w:r w:rsidDel="00000000" w:rsidR="00000000" w:rsidRPr="00000000">
        <w:rPr>
          <w:rtl w:val="0"/>
        </w:rPr>
        <w:t xml:space="preserve">5. Seguimiento y control de avance</w:t>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t xml:space="preserve">La ejecución del plan será monitoreada periódicamente para asegurar que se cumplan los objetivos trazados. Para ello, se implementarán mecanismos de seguimiento como</w:t>
      </w:r>
    </w:p>
    <w:p w:rsidR="00000000" w:rsidDel="00000000" w:rsidP="00000000" w:rsidRDefault="00000000" w:rsidRPr="00000000" w14:paraId="00000145">
      <w:pPr>
        <w:jc w:val="both"/>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Reuniones semanales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de control y seguimiento a la ejecución del plan.</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Indicadores de gestión, producto y resultado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que permitan medir el avance en la resolución de expedientes.</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Reportes periódicos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con actualización del estado de los procesos y acciones implementadas.</w:t>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pStyle w:val="Heading2"/>
        <w:rPr/>
      </w:pPr>
      <w:r w:rsidDel="00000000" w:rsidR="00000000" w:rsidRPr="00000000">
        <w:rPr>
          <w:rtl w:val="0"/>
        </w:rPr>
        <w:t xml:space="preserve">6. Implementación de herramientas tecnológicas</w:t>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pPr>
      <w:r w:rsidDel="00000000" w:rsidR="00000000" w:rsidRPr="00000000">
        <w:rPr>
          <w:rtl w:val="0"/>
        </w:rPr>
        <w:t xml:space="preserve">Para mejorar la eficiencia en la gestión de expedientes y reducir el tiempo de respuesta, se fortalecerá el uso de herramientas tecnológicas como</w:t>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Optimización de bases de datos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y digitalización de expedientes en plataformas que permitan una consulta más ágil.</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Automatización de procesos administrativos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para reducir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tiempos en la elaboración de documentos.</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Desarrollo e interoperabilidad de sistemas de información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que faciliten el acceso a los antecedentes y estado de los expedientes sancionatorios.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t xml:space="preserve">En el marco de la implementación de este plan de descongestión, se reconoce como elemento fundamental la necesidad de contar con herramientas tecnológicas robustas que garanticen una trazabilidad eficiente, segura y homogénea de los expedientes administrativos sujetos a revisión, priorización y decisión definitiva. Esta aproximación tecnológica constituye un fin estratégico para el éxito del plan, considerando que la gestión efectiva de grandes volúmenes de procesos sancionatorios requiere sistemas que superen las limitaciones de las herramientas tradicionales de administración documental.</w:t>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t xml:space="preserve">Actualmente, el sistema Forest desempeña funciones esenciales en la administración y distribución de correspondencia oficial, proporcionando un marco básico para el manejo documental institucional. Sin embargo, un análisis detallado de sus capacidades revela limitaciones significativas para la gestión integral del ciclo de vida de los procesos sancionatorios ambientales, particularmente en aspectos críticos como el monitoreo en tiempo real de avances procesales, la consolidación automática de resultados por equipos de trabajo, la trazabilidad detallada de actuaciones por profesional responsable, y la centralización de estadísticas que faciliten la toma de decisiones estratégicas fundamentadas en datos objetivos.</w:t>
      </w:r>
    </w:p>
    <w:p w:rsidR="00000000" w:rsidDel="00000000" w:rsidP="00000000" w:rsidRDefault="00000000" w:rsidRPr="00000000" w14:paraId="00000155">
      <w:pPr>
        <w:jc w:val="both"/>
        <w:rPr/>
      </w:pP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t xml:space="preserve">Estas limitaciones se traducen en dificultades operativas que incluyen la fragmentación de la información, la dependencia de controles manuales propensos a errores, la imposibilidad de generar alertas automáticas sobre vencimiento de términos, y la ausencia de herramientas analíticas que permitan identificar patrones, tendencias y oportunidades de mejora en la gestión procesal.</w:t>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t xml:space="preserve">En tal sentido, el plan contempla como línea transversal de apoyo estratégico, la consolidación de un entorno tecnológico unificado e integral, diseñado específicamente para atender las necesidades complejas del procedimiento sancionatorio ambiental, apoyo que se ha venido gestionando a través de la Dirección de Planeación y Sistemas de Información Ambiental (DPSIA). Este entorno debe permitir el registro estandarizado y sistemático de todas las actuaciones realizadas, el establecimiento de indicadores automáticos de avance que reflejen el estado real de cada expediente, la identificación proactiva de cuellos de botella y obstáculos procesales, y la generación de reportes dinámicos y personalizables por fecha, tipo de actuación, profesional responsable, estado procesal y cualquier otra variable relevante para la gestión administrativa.</w:t>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jc w:val="both"/>
        <w:rPr/>
      </w:pPr>
      <w:r w:rsidDel="00000000" w:rsidR="00000000" w:rsidRPr="00000000">
        <w:rPr>
          <w:rtl w:val="0"/>
        </w:rPr>
        <w:t xml:space="preserve">La arquitectura tecnológica debe incorporar funcionalidades avanzadas que incluyan </w:t>
      </w:r>
      <w:r w:rsidDel="00000000" w:rsidR="00000000" w:rsidRPr="00000000">
        <w:rPr>
          <w:i w:val="1"/>
          <w:rtl w:val="0"/>
        </w:rPr>
        <w:t xml:space="preserve">dashboards</w:t>
      </w:r>
      <w:r w:rsidDel="00000000" w:rsidR="00000000" w:rsidRPr="00000000">
        <w:rPr>
          <w:rtl w:val="0"/>
        </w:rPr>
        <w:t xml:space="preserve"> o tableros de control para el monitoreo en tiempo real, sistemas de alertas automáticas para el cumplimiento de términos legales, módulos de análisis predictivo para la planificación de recursos, y herramientas de colaboración que faciliten el trabajo coordinado entre los diferentes equipos jurídicos involucrados en el proceso de descongestión.</w:t>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jc w:val="both"/>
        <w:rPr/>
      </w:pPr>
      <w:r w:rsidDel="00000000" w:rsidR="00000000" w:rsidRPr="00000000">
        <w:rPr>
          <w:rtl w:val="0"/>
        </w:rPr>
        <w:t xml:space="preserve">Así las cosas, el apoyo en las tecnologías de la información y las comunicaciones se concibe no solo como un medio para resolver la situación actual de congestión, sino como una inversión estratégica en la modernización y eficiencia de la gestión sancionatoria ambiental, cuyos beneficios se extenderán más allá del periodo de ejecución del plan de descongestión, constituyendo un legado institucional que fortalecerá permanentemente la capacidad de respuesta de la autoridad ambiental.</w:t>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pStyle w:val="Heading2"/>
        <w:rPr/>
      </w:pPr>
      <w:r w:rsidDel="00000000" w:rsidR="00000000" w:rsidRPr="00000000">
        <w:rPr>
          <w:rtl w:val="0"/>
        </w:rPr>
        <w:t xml:space="preserve">7. Reorganización institucional y garantías de debido proceso en el procedimiento sancionatorio ambiental</w:t>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t xml:space="preserve">Es importante señalar que la SDA se encuentra adelantando un proceso de modernización institucional, en el marco del cual se proyecta la creación y consolidación de un equipo especializado en materia sancionatoria ambiental, con competencias definidas para liderar, coordinar y ejecutar las actuaciones administrativas relacionadas con la evaluación, seguimiento y decisión de procesos por infracciones a la normativa ambiental.</w:t>
      </w:r>
    </w:p>
    <w:p w:rsidR="00000000" w:rsidDel="00000000" w:rsidP="00000000" w:rsidRDefault="00000000" w:rsidRPr="00000000" w14:paraId="00000161">
      <w:pPr>
        <w:jc w:val="both"/>
        <w:rPr/>
      </w:pPr>
      <w:r w:rsidDel="00000000" w:rsidR="00000000" w:rsidRPr="00000000">
        <w:rPr>
          <w:rtl w:val="0"/>
        </w:rPr>
      </w:r>
    </w:p>
    <w:p w:rsidR="00000000" w:rsidDel="00000000" w:rsidP="00000000" w:rsidRDefault="00000000" w:rsidRPr="00000000" w14:paraId="00000162">
      <w:pPr>
        <w:jc w:val="both"/>
        <w:rPr/>
      </w:pPr>
      <w:r w:rsidDel="00000000" w:rsidR="00000000" w:rsidRPr="00000000">
        <w:rPr>
          <w:rtl w:val="0"/>
        </w:rPr>
        <w:t xml:space="preserve">Este esfuerzo de reorganización responde tanto a la necesidad de optimizar la gestión administrativa de los procedimientos sancionatorios como a los retos técnicos y jurídicos que impone la normatividad vigente, en particular la Ley 1333 de 2009, sus decretos reglamentarios, y la recientemente expedida Ley 2387 de 2024, que exige una mayor capacidad operativa e institucional para garantizar el cumplimiento de las funciones de control ambiental.</w:t>
      </w:r>
    </w:p>
    <w:p w:rsidR="00000000" w:rsidDel="00000000" w:rsidP="00000000" w:rsidRDefault="00000000" w:rsidRPr="00000000" w14:paraId="00000163">
      <w:pPr>
        <w:jc w:val="both"/>
        <w:rPr/>
      </w:pPr>
      <w:r w:rsidDel="00000000" w:rsidR="00000000" w:rsidRPr="00000000">
        <w:rPr>
          <w:rtl w:val="0"/>
        </w:rPr>
      </w:r>
    </w:p>
    <w:p w:rsidR="00000000" w:rsidDel="00000000" w:rsidP="00000000" w:rsidRDefault="00000000" w:rsidRPr="00000000" w14:paraId="00000164">
      <w:pPr>
        <w:jc w:val="both"/>
        <w:rPr/>
      </w:pPr>
      <w:r w:rsidDel="00000000" w:rsidR="00000000" w:rsidRPr="00000000">
        <w:rPr>
          <w:rtl w:val="0"/>
        </w:rPr>
        <w:t xml:space="preserve">La articulación del plan de descongestión con este proceso de fortalecimiento institucional permitirá no solo la superación progresiva del rezago actual, sino la implementación sostenible de mecanismos permanentes de priorización, seguimiento y decisión, bajo criterios técnicos, jurídicos y ambientales objetivos. Asimismo, se espera que dicho grupo especializado pueda fungir como núcleo articulador de lineamientos, prácticas estandarizadas y estrategias de mejora continua para toda la entidad en materia sancionatoria.</w:t>
      </w:r>
    </w:p>
    <w:p w:rsidR="00000000" w:rsidDel="00000000" w:rsidP="00000000" w:rsidRDefault="00000000" w:rsidRPr="00000000" w14:paraId="00000165">
      <w:pPr>
        <w:jc w:val="both"/>
        <w:rPr/>
      </w:pP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t xml:space="preserve">Ahora bien, una acción esencial para el éxito del Plan de Descongestión de Procesos Sancionatorios Ambientales es el fortalecimiento de los mecanismos de notificación, comunicación y publicación de los actos administrativos. La notificación efectiva de las decisiones administrativas es fundamental para garantizar el debido proceso y el derecho de defensa de los administrados.</w:t>
      </w:r>
    </w:p>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rtl w:val="0"/>
        </w:rPr>
        <w:t xml:space="preserve">Una notificación defectuosa impide que el acto administrativo adquiera firmeza y ejecutoriedad. En determinados casos, los términos para interponer recursos no comienzan a correr hasta tanto el acto no sea notificado o, incluso, el plazo para presentar descargos o alegatos de conclusión. Esto puede generar inseguridad jurídica y retrasos en la ejecución de las decisiones administrativas.</w:t>
      </w:r>
    </w:p>
    <w:p w:rsidR="00000000" w:rsidDel="00000000" w:rsidP="00000000" w:rsidRDefault="00000000" w:rsidRPr="00000000" w14:paraId="00000169">
      <w:pPr>
        <w:jc w:val="both"/>
        <w:rPr/>
      </w:pPr>
      <w:r w:rsidDel="00000000" w:rsidR="00000000" w:rsidRPr="00000000">
        <w:rPr>
          <w:rtl w:val="0"/>
        </w:rPr>
      </w:r>
    </w:p>
    <w:p w:rsidR="00000000" w:rsidDel="00000000" w:rsidP="00000000" w:rsidRDefault="00000000" w:rsidRPr="00000000" w14:paraId="0000016A">
      <w:pPr>
        <w:jc w:val="both"/>
        <w:rPr/>
      </w:pPr>
      <w:r w:rsidDel="00000000" w:rsidR="00000000" w:rsidRPr="00000000">
        <w:rPr>
          <w:rtl w:val="0"/>
        </w:rPr>
        <w:t xml:space="preserve">Hay que tener en cuenta que la notificación del acto administrativo que culmina una etapa del procedimiento sancionatorio constituye un requisito esencial para la validez y eficacia de la actuación administrativa. En efecto, sin la correspondiente notificación al administrado, dicho acto no produce efectos jurídicos frente a terceros, no adquiere firmeza ni ejecutoriedad, y por tanto impide el avance regular hacia la etapa subsiguiente del procedimiento.</w:t>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t xml:space="preserve">Para mejorar estos procesos, se propone implementar las siguientes acciones:</w:t>
      </w:r>
    </w:p>
    <w:p w:rsidR="00000000" w:rsidDel="00000000" w:rsidP="00000000" w:rsidRDefault="00000000" w:rsidRPr="00000000" w14:paraId="0000016D">
      <w:pPr>
        <w:jc w:val="both"/>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Capacitación del personal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Brindar formación continua a los funcionarios encargados de las notificaciones sobre los procedimientos legales y la importancia de una notificación adecuada.</w:t>
      </w:r>
    </w:p>
    <w:p w:rsidR="00000000" w:rsidDel="00000000" w:rsidP="00000000" w:rsidRDefault="00000000" w:rsidRPr="00000000" w14:paraId="000001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Actualización de protocolos o manuales de procedimiento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Revisar y actualizar los protocolos de notificación para asegurar el cumplimiento de los requisitos legales y la eficiencia en la comunicación con los administrados.</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Uso de medios electrónicos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Implementar herramientas tecnológicas que permitan citaciones y/o notificaciones electrónicas, </w:t>
      </w:r>
      <w:r w:rsidDel="00000000" w:rsidR="00000000" w:rsidRPr="00000000">
        <w:rPr>
          <w:rtl w:val="0"/>
        </w:rPr>
        <w:t xml:space="preserve">para garantizar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 seguridad y confidencialidad de la información, y agiliza</w:t>
      </w:r>
      <w:r w:rsidDel="00000000" w:rsidR="00000000" w:rsidRPr="00000000">
        <w:rPr>
          <w:rtl w:val="0"/>
        </w:rPr>
        <w:t xml:space="preserv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el proceso.</w:t>
      </w:r>
    </w:p>
    <w:p w:rsidR="00000000" w:rsidDel="00000000" w:rsidP="00000000" w:rsidRDefault="00000000" w:rsidRPr="00000000" w14:paraId="000001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Monitoreo y seguimiento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Establecer sistemas de seguimiento para verificar que las notificaciones se realicen correctamente y en los tiempos establecidos, </w:t>
      </w:r>
      <w:r w:rsidDel="00000000" w:rsidR="00000000" w:rsidRPr="00000000">
        <w:rPr>
          <w:rtl w:val="0"/>
        </w:rPr>
        <w:t xml:space="preserve">para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corregir posibles fallas de manera oportuna.</w:t>
      </w:r>
    </w:p>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t xml:space="preserve">Al fortalecer los procesos de notificación, comunicación y publicación de los actos administrativos, se asegura que las decisiones de la autoridad ambiental sean efectivas, respetando los preceptos normativos y contribuyendo a la eficiencia y transparencia en la gestión pública.</w:t>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pPr>
      <w:r w:rsidDel="00000000" w:rsidR="00000000" w:rsidRPr="00000000">
        <w:rPr>
          <w:rtl w:val="0"/>
        </w:rPr>
        <w:t xml:space="preserve">Ahora bien, se considera pertinente evaluar la creación de un grupo transversal o unidad funcional especializada, cuya labor se centre exclusivamente en la gestión integral de la etapa final de las decisiones sancionatorias, bajo un protocolo unificado que defina los canales y medios de notificación (física, electrónica o por aviso); los lineamientos para la elaboración de constancias y actas de publicación; los plazos de respuesta y seguimiento a devoluciones postales, y los criterios para la aplicación sistemática de las normas sobre notificación por conducta concluyente o medios subsidiarios.</w:t>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t xml:space="preserve">Dicha medida, en caso de ser viable, podrá integrarse progresivamente al proceso de reorganización institucional mencionado anteriormente, en articulación con el grupo especializado en sancionatorios y con los sistemas tecnológicos de seguimiento y trazabilidad.</w:t>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pStyle w:val="Heading2"/>
        <w:rPr/>
      </w:pPr>
      <w:r w:rsidDel="00000000" w:rsidR="00000000" w:rsidRPr="00000000">
        <w:rPr>
          <w:rtl w:val="0"/>
        </w:rPr>
        <w:t xml:space="preserve">Conclusiones</w:t>
      </w:r>
    </w:p>
    <w:p w:rsidR="00000000" w:rsidDel="00000000" w:rsidP="00000000" w:rsidRDefault="00000000" w:rsidRPr="00000000" w14:paraId="0000017A">
      <w:pPr>
        <w:jc w:val="both"/>
        <w:rPr/>
      </w:pPr>
      <w:r w:rsidDel="00000000" w:rsidR="00000000" w:rsidRPr="00000000">
        <w:rPr>
          <w:rtl w:val="0"/>
        </w:rPr>
      </w:r>
    </w:p>
    <w:p w:rsidR="00000000" w:rsidDel="00000000" w:rsidP="00000000" w:rsidRDefault="00000000" w:rsidRPr="00000000" w14:paraId="0000017B">
      <w:pPr>
        <w:jc w:val="both"/>
        <w:rPr/>
      </w:pPr>
      <w:r w:rsidDel="00000000" w:rsidR="00000000" w:rsidRPr="00000000">
        <w:rPr>
          <w:rtl w:val="0"/>
        </w:rPr>
        <w:t xml:space="preserve">La ejecución del Plan de Descongestión de Procesos Sancionatorios Ambientales es clave para optimizar la gestión de expedientes y garantizar la aplicación efectiva del régimen sancionatorio ambiental. La acumulación de un número importante de casos con una antigüedad entre 10 y 19 años, junto con otro tanto de expedientes sin fecha de inicio identificada, evidencia la importancia de adoptar medidas para su pronta resolución.</w:t>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t xml:space="preserve">Este plan busca fortalecer la capacidad operativa de la SDA y su Dirección de Control Ambiental, mediante la identificación y depuración de expedientes, la optimización de procesos, la mejora de los mecanismos de notificación y la asignación estratégica de casos. Su implementación permitirá mejorar la eficacia de las decisiones administrativas y asegurar que las sanciones ambientales cumplan con su función preventiva, correctiva y compensatoria.</w:t>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t xml:space="preserve">De manera concreta, se establece que los 4.314 expedientes priorizados en el marco del plan de descongestión serán gestionados de forma integral hasta alcanzar su respectiva decisión de fondo o terminación formal, conforme a los principios de eficacia, celeridad y legalidad que rigen la función administrativa. Para alcanzar estos objetivos, es indispensable el compromiso de los actores involucrados y el seguimiento continuo a las estrategias adoptadas. La correcta ejecución del plan garantizará que la Ley 1333 de 2009 y su modificación en la Ley 2387 de 2024 se apliquen con rigor y dentro de los tiempos establecidos.</w:t>
      </w:r>
    </w:p>
    <w:sectPr>
      <w:headerReference r:id="rId7" w:type="default"/>
      <w:pgSz w:h="15840" w:w="12240" w:orient="portrait"/>
      <w:pgMar w:bottom="1417" w:top="1711"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Aptos Narrow"/>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2574171" cy="570290"/>
          <wp:effectExtent b="0" l="0" r="0" t="0"/>
          <wp:docPr id="183902329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4171" cy="570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6">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7">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ptos" w:cs="Aptos" w:eastAsia="Aptos" w:hAnsi="Apto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O"/>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b w:val="1"/>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b w:val="1"/>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jc w:val="center"/>
    </w:pPr>
    <w:rPr>
      <w:rFonts w:ascii="Play" w:cs="Play" w:eastAsia="Play" w:hAnsi="Play"/>
      <w:b w:val="1"/>
      <w:sz w:val="56"/>
      <w:szCs w:val="56"/>
    </w:rPr>
  </w:style>
  <w:style w:type="paragraph" w:styleId="Ttulo7">
    <w:name w:val="heading 7"/>
    <w:basedOn w:val="Normal"/>
    <w:next w:val="Normal"/>
    <w:link w:val="Ttulo7Car"/>
    <w:uiPriority w:val="9"/>
    <w:semiHidden w:val="1"/>
    <w:unhideWhenUsed w:val="1"/>
    <w:qFormat w:val="1"/>
    <w:rsid w:val="008B41BC"/>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8B41BC"/>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8B41BC"/>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B41BC"/>
    <w:rPr>
      <w:rFonts w:asciiTheme="majorHAnsi" w:cstheme="majorBidi" w:eastAsiaTheme="majorEastAsia" w:hAnsiTheme="majorHAnsi"/>
      <w:b w:val="1"/>
      <w:bCs w:val="1"/>
      <w:color w:val="0f4761" w:themeColor="accent1" w:themeShade="0000BF"/>
      <w:sz w:val="40"/>
      <w:szCs w:val="40"/>
      <w:lang w:val="es-ES"/>
    </w:rPr>
  </w:style>
  <w:style w:type="character" w:styleId="Ttulo2Car" w:customStyle="1">
    <w:name w:val="Título 2 Car"/>
    <w:basedOn w:val="Fuentedeprrafopredeter"/>
    <w:link w:val="Ttulo2"/>
    <w:uiPriority w:val="9"/>
    <w:rsid w:val="00F34478"/>
    <w:rPr>
      <w:rFonts w:asciiTheme="majorHAnsi" w:cstheme="majorBidi" w:eastAsiaTheme="majorEastAsia" w:hAnsiTheme="majorHAnsi"/>
      <w:b w:val="1"/>
      <w:bCs w:val="1"/>
      <w:color w:val="0f4761" w:themeColor="accent1" w:themeShade="0000BF"/>
      <w:sz w:val="32"/>
      <w:szCs w:val="32"/>
    </w:rPr>
  </w:style>
  <w:style w:type="character" w:styleId="Ttulo3Car" w:customStyle="1">
    <w:name w:val="Título 3 Car"/>
    <w:basedOn w:val="Fuentedeprrafopredeter"/>
    <w:link w:val="Ttulo3"/>
    <w:uiPriority w:val="9"/>
    <w:semiHidden w:val="1"/>
    <w:rsid w:val="008B41BC"/>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8B41BC"/>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8B41BC"/>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8B41BC"/>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8B41BC"/>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8B41BC"/>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8B41BC"/>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8B41BC"/>
    <w:rPr>
      <w:rFonts w:asciiTheme="majorHAnsi" w:cstheme="majorBidi" w:eastAsiaTheme="majorEastAsia" w:hAnsiTheme="majorHAnsi"/>
      <w:b w:val="1"/>
      <w:bCs w:val="1"/>
      <w:spacing w:val="-10"/>
      <w:kern w:val="28"/>
      <w:sz w:val="56"/>
      <w:szCs w:val="56"/>
      <w:lang w:val="es-ES"/>
    </w:rPr>
  </w:style>
  <w:style w:type="character" w:styleId="SubttuloCar" w:customStyle="1">
    <w:name w:val="Subtítulo Car"/>
    <w:basedOn w:val="Fuentedeprrafopredeter"/>
    <w:link w:val="Subttulo"/>
    <w:uiPriority w:val="11"/>
    <w:rsid w:val="008B41BC"/>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8B41BC"/>
    <w:pPr>
      <w:spacing w:after="160" w:before="160"/>
      <w:jc w:val="center"/>
    </w:pPr>
    <w:rPr>
      <w:i w:val="1"/>
      <w:iCs w:val="1"/>
      <w:color w:val="404040" w:themeColor="text1" w:themeTint="0000BF"/>
    </w:rPr>
  </w:style>
  <w:style w:type="character" w:styleId="CitaCar" w:customStyle="1">
    <w:name w:val="Cita Car"/>
    <w:basedOn w:val="Fuentedeprrafopredeter"/>
    <w:link w:val="Cita"/>
    <w:uiPriority w:val="29"/>
    <w:rsid w:val="008B41BC"/>
    <w:rPr>
      <w:i w:val="1"/>
      <w:iCs w:val="1"/>
      <w:color w:val="404040" w:themeColor="text1" w:themeTint="0000BF"/>
    </w:rPr>
  </w:style>
  <w:style w:type="paragraph" w:styleId="Prrafodelista">
    <w:name w:val="List Paragraph"/>
    <w:basedOn w:val="Normal"/>
    <w:uiPriority w:val="34"/>
    <w:qFormat w:val="1"/>
    <w:rsid w:val="008B41BC"/>
    <w:pPr>
      <w:ind w:left="720"/>
      <w:contextualSpacing w:val="1"/>
    </w:pPr>
  </w:style>
  <w:style w:type="character" w:styleId="nfasisintenso">
    <w:name w:val="Intense Emphasis"/>
    <w:basedOn w:val="Fuentedeprrafopredeter"/>
    <w:uiPriority w:val="21"/>
    <w:qFormat w:val="1"/>
    <w:rsid w:val="008B41BC"/>
    <w:rPr>
      <w:i w:val="1"/>
      <w:iCs w:val="1"/>
      <w:color w:val="0f4761" w:themeColor="accent1" w:themeShade="0000BF"/>
    </w:rPr>
  </w:style>
  <w:style w:type="paragraph" w:styleId="Citadestacada">
    <w:name w:val="Intense Quote"/>
    <w:basedOn w:val="Normal"/>
    <w:next w:val="Normal"/>
    <w:link w:val="CitadestacadaCar"/>
    <w:uiPriority w:val="30"/>
    <w:qFormat w:val="1"/>
    <w:rsid w:val="008B41B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8B41BC"/>
    <w:rPr>
      <w:i w:val="1"/>
      <w:iCs w:val="1"/>
      <w:color w:val="0f4761" w:themeColor="accent1" w:themeShade="0000BF"/>
    </w:rPr>
  </w:style>
  <w:style w:type="character" w:styleId="Referenciaintensa">
    <w:name w:val="Intense Reference"/>
    <w:basedOn w:val="Fuentedeprrafopredeter"/>
    <w:uiPriority w:val="32"/>
    <w:qFormat w:val="1"/>
    <w:rsid w:val="008B41BC"/>
    <w:rPr>
      <w:b w:val="1"/>
      <w:bCs w:val="1"/>
      <w:smallCaps w:val="1"/>
      <w:color w:val="0f4761" w:themeColor="accent1" w:themeShade="0000BF"/>
      <w:spacing w:val="5"/>
    </w:rPr>
  </w:style>
  <w:style w:type="paragraph" w:styleId="p1" w:customStyle="1">
    <w:name w:val="p1"/>
    <w:basedOn w:val="Normal"/>
    <w:rsid w:val="008D6680"/>
    <w:pPr>
      <w:spacing w:after="100" w:afterAutospacing="1" w:before="100" w:beforeAutospacing="1"/>
    </w:pPr>
    <w:rPr>
      <w:rFonts w:ascii="Times New Roman" w:cs="Times New Roman" w:eastAsia="Times New Roman" w:hAnsi="Times New Roman"/>
      <w:kern w:val="0"/>
      <w:lang w:eastAsia="es-MX"/>
    </w:rPr>
  </w:style>
  <w:style w:type="paragraph" w:styleId="p2" w:customStyle="1">
    <w:name w:val="p2"/>
    <w:basedOn w:val="Normal"/>
    <w:rsid w:val="001319A6"/>
    <w:pPr>
      <w:spacing w:after="100" w:afterAutospacing="1" w:before="100" w:beforeAutospacing="1"/>
    </w:pPr>
    <w:rPr>
      <w:rFonts w:ascii="Times New Roman" w:cs="Times New Roman" w:eastAsia="Times New Roman" w:hAnsi="Times New Roman"/>
      <w:kern w:val="0"/>
      <w:lang w:eastAsia="es-MX"/>
    </w:rPr>
  </w:style>
  <w:style w:type="character" w:styleId="apple-tab-span" w:customStyle="1">
    <w:name w:val="apple-tab-span"/>
    <w:basedOn w:val="Fuentedeprrafopredeter"/>
    <w:rsid w:val="001319A6"/>
  </w:style>
  <w:style w:type="character" w:styleId="s1" w:customStyle="1">
    <w:name w:val="s1"/>
    <w:basedOn w:val="Fuentedeprrafopredeter"/>
    <w:rsid w:val="001319A6"/>
  </w:style>
  <w:style w:type="paragraph" w:styleId="p3" w:customStyle="1">
    <w:name w:val="p3"/>
    <w:basedOn w:val="Normal"/>
    <w:rsid w:val="001319A6"/>
    <w:pPr>
      <w:spacing w:after="100" w:afterAutospacing="1" w:before="100" w:beforeAutospacing="1"/>
    </w:pPr>
    <w:rPr>
      <w:rFonts w:ascii="Times New Roman" w:cs="Times New Roman" w:eastAsia="Times New Roman" w:hAnsi="Times New Roman"/>
      <w:kern w:val="0"/>
      <w:lang w:eastAsia="es-MX"/>
    </w:rPr>
  </w:style>
  <w:style w:type="paragraph" w:styleId="Encabezado">
    <w:name w:val="header"/>
    <w:basedOn w:val="Normal"/>
    <w:link w:val="EncabezadoCar"/>
    <w:uiPriority w:val="99"/>
    <w:unhideWhenUsed w:val="1"/>
    <w:rsid w:val="00AA0797"/>
    <w:pPr>
      <w:tabs>
        <w:tab w:val="center" w:pos="4419"/>
        <w:tab w:val="right" w:pos="8838"/>
      </w:tabs>
    </w:pPr>
  </w:style>
  <w:style w:type="character" w:styleId="EncabezadoCar" w:customStyle="1">
    <w:name w:val="Encabezado Car"/>
    <w:basedOn w:val="Fuentedeprrafopredeter"/>
    <w:link w:val="Encabezado"/>
    <w:uiPriority w:val="99"/>
    <w:rsid w:val="00AA0797"/>
  </w:style>
  <w:style w:type="paragraph" w:styleId="Piedepgina">
    <w:name w:val="footer"/>
    <w:basedOn w:val="Normal"/>
    <w:link w:val="PiedepginaCar"/>
    <w:uiPriority w:val="99"/>
    <w:unhideWhenUsed w:val="1"/>
    <w:rsid w:val="00AA0797"/>
    <w:pPr>
      <w:tabs>
        <w:tab w:val="center" w:pos="4419"/>
        <w:tab w:val="right" w:pos="8838"/>
      </w:tabs>
    </w:pPr>
  </w:style>
  <w:style w:type="character" w:styleId="PiedepginaCar" w:customStyle="1">
    <w:name w:val="Pie de página Car"/>
    <w:basedOn w:val="Fuentedeprrafopredeter"/>
    <w:link w:val="Piedepgina"/>
    <w:uiPriority w:val="99"/>
    <w:rsid w:val="00AA0797"/>
  </w:style>
  <w:style w:type="character" w:styleId="Refdecomentario">
    <w:name w:val="annotation reference"/>
    <w:basedOn w:val="Fuentedeprrafopredeter"/>
    <w:uiPriority w:val="99"/>
    <w:semiHidden w:val="1"/>
    <w:unhideWhenUsed w:val="1"/>
    <w:rsid w:val="00F927C3"/>
    <w:rPr>
      <w:sz w:val="16"/>
      <w:szCs w:val="16"/>
    </w:rPr>
  </w:style>
  <w:style w:type="paragraph" w:styleId="Textocomentario">
    <w:name w:val="annotation text"/>
    <w:basedOn w:val="Normal"/>
    <w:link w:val="TextocomentarioCar"/>
    <w:uiPriority w:val="99"/>
    <w:unhideWhenUsed w:val="1"/>
    <w:rsid w:val="00F927C3"/>
    <w:rPr>
      <w:sz w:val="20"/>
      <w:szCs w:val="20"/>
    </w:rPr>
  </w:style>
  <w:style w:type="character" w:styleId="TextocomentarioCar" w:customStyle="1">
    <w:name w:val="Texto comentario Car"/>
    <w:basedOn w:val="Fuentedeprrafopredeter"/>
    <w:link w:val="Textocomentario"/>
    <w:uiPriority w:val="99"/>
    <w:rsid w:val="00F927C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927C3"/>
    <w:rPr>
      <w:b w:val="1"/>
      <w:bCs w:val="1"/>
    </w:rPr>
  </w:style>
  <w:style w:type="character" w:styleId="AsuntodelcomentarioCar" w:customStyle="1">
    <w:name w:val="Asunto del comentario Car"/>
    <w:basedOn w:val="TextocomentarioCar"/>
    <w:link w:val="Asuntodelcomentario"/>
    <w:uiPriority w:val="99"/>
    <w:semiHidden w:val="1"/>
    <w:rsid w:val="00F927C3"/>
    <w:rPr>
      <w:b w:val="1"/>
      <w:bCs w:val="1"/>
      <w:sz w:val="20"/>
      <w:szCs w:val="20"/>
    </w:rPr>
  </w:style>
  <w:style w:type="paragraph" w:styleId="Revisin">
    <w:name w:val="Revision"/>
    <w:hidden w:val="1"/>
    <w:uiPriority w:val="99"/>
    <w:semiHidden w:val="1"/>
    <w:rsid w:val="006C2479"/>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PVDaLgrrxgCxTO1llxsOV925A==">CgMxLjA4AHIhMXdtb1dja3FneEdsUmRRMl9RcF91Njg3RmZiUXNoSUpC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2025-08-05T15:20:00Z</dcterms:created>
  <dc:creator>Franklim Geovanni Guevara Bernal</dc:creator>
</cp:coreProperties>
</file>